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F93B">
      <w:pPr>
        <w:jc w:val="center"/>
        <w:rPr>
          <w:rFonts w:hint="default" w:ascii="微软雅黑" w:hAnsi="微软雅黑" w:eastAsia="微软雅黑" w:cs="微软雅黑"/>
          <w:b/>
          <w:bCs/>
          <w:color w:val="000000"/>
          <w:kern w:val="0"/>
          <w:sz w:val="40"/>
          <w:szCs w:val="40"/>
          <w:lang w:val="en-US" w:eastAsia="zh-CN" w:bidi="ar"/>
        </w:rPr>
      </w:pPr>
      <w:r>
        <w:rPr>
          <w:rFonts w:hint="eastAsia" w:ascii="微软雅黑" w:hAnsi="微软雅黑" w:eastAsia="微软雅黑" w:cs="微软雅黑"/>
          <w:b/>
          <w:bCs/>
          <w:color w:val="000000"/>
          <w:kern w:val="0"/>
          <w:sz w:val="40"/>
          <w:szCs w:val="40"/>
          <w:lang w:bidi="ar"/>
        </w:rPr>
        <w:t>南京中医药大学</w:t>
      </w:r>
      <w:r>
        <w:rPr>
          <w:rFonts w:hint="eastAsia" w:ascii="微软雅黑" w:hAnsi="微软雅黑" w:eastAsia="微软雅黑" w:cs="微软雅黑"/>
          <w:b/>
          <w:bCs/>
          <w:color w:val="000000"/>
          <w:kern w:val="0"/>
          <w:sz w:val="40"/>
          <w:szCs w:val="40"/>
          <w:lang w:val="en-US" w:eastAsia="zh-CN" w:bidi="ar"/>
        </w:rPr>
        <w:t>图书馆电子存包柜</w:t>
      </w:r>
    </w:p>
    <w:p w14:paraId="385BCEFD">
      <w:pPr>
        <w:jc w:val="center"/>
        <w:rPr>
          <w:rFonts w:ascii="微软雅黑" w:hAnsi="微软雅黑" w:eastAsia="微软雅黑" w:cs="微软雅黑"/>
          <w:b/>
          <w:bCs/>
          <w:color w:val="000000"/>
          <w:kern w:val="0"/>
          <w:sz w:val="40"/>
          <w:szCs w:val="40"/>
          <w:lang w:bidi="ar"/>
        </w:rPr>
      </w:pPr>
      <w:r>
        <w:rPr>
          <w:rFonts w:hint="eastAsia" w:ascii="微软雅黑" w:hAnsi="微软雅黑" w:eastAsia="微软雅黑" w:cs="微软雅黑"/>
          <w:b/>
          <w:bCs/>
          <w:color w:val="000000"/>
          <w:kern w:val="0"/>
          <w:sz w:val="40"/>
          <w:szCs w:val="40"/>
          <w:lang w:bidi="ar"/>
        </w:rPr>
        <w:t>采购预算表</w:t>
      </w:r>
    </w:p>
    <w:p w14:paraId="35209C5F">
      <w:pPr>
        <w:jc w:val="left"/>
        <w:rPr>
          <w:rFonts w:ascii="微软雅黑" w:hAnsi="微软雅黑" w:eastAsia="微软雅黑" w:cs="微软雅黑"/>
          <w:b/>
          <w:bCs/>
          <w:color w:val="000000"/>
          <w:kern w:val="0"/>
          <w:sz w:val="40"/>
          <w:szCs w:val="40"/>
          <w:lang w:bidi="ar"/>
        </w:rPr>
      </w:pPr>
      <w:r>
        <w:rPr>
          <w:rFonts w:hint="eastAsia"/>
        </w:rPr>
        <w:t>*报价（含单项报价及总价）任意一项为缺项或超出限价即被认定为无效报价，本次报价按照无效响应处理</w:t>
      </w:r>
    </w:p>
    <w:tbl>
      <w:tblPr>
        <w:tblStyle w:val="4"/>
        <w:tblW w:w="89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5"/>
        <w:gridCol w:w="1248"/>
        <w:gridCol w:w="2791"/>
        <w:gridCol w:w="807"/>
        <w:gridCol w:w="783"/>
        <w:gridCol w:w="1273"/>
        <w:gridCol w:w="1280"/>
      </w:tblGrid>
      <w:tr w14:paraId="61B8E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795" w:type="dxa"/>
            <w:tcBorders>
              <w:tl2br w:val="nil"/>
              <w:tr2bl w:val="nil"/>
            </w:tcBorders>
            <w:shd w:val="clear" w:color="auto" w:fill="F2F2F2"/>
            <w:vAlign w:val="bottom"/>
          </w:tcPr>
          <w:p w14:paraId="3F1BC7E5">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1248" w:type="dxa"/>
            <w:tcBorders>
              <w:tl2br w:val="nil"/>
              <w:tr2bl w:val="nil"/>
            </w:tcBorders>
            <w:shd w:val="clear" w:color="auto" w:fill="F2F2F2"/>
            <w:vAlign w:val="bottom"/>
          </w:tcPr>
          <w:p w14:paraId="27D07EC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2791" w:type="dxa"/>
            <w:tcBorders>
              <w:tl2br w:val="nil"/>
              <w:tr2bl w:val="nil"/>
            </w:tcBorders>
            <w:shd w:val="clear" w:color="auto" w:fill="F2F2F2"/>
            <w:vAlign w:val="bottom"/>
          </w:tcPr>
          <w:p w14:paraId="049D3373">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807" w:type="dxa"/>
            <w:tcBorders>
              <w:tl2br w:val="nil"/>
              <w:tr2bl w:val="nil"/>
            </w:tcBorders>
            <w:shd w:val="clear" w:color="auto" w:fill="F2F2F2"/>
            <w:vAlign w:val="bottom"/>
          </w:tcPr>
          <w:p w14:paraId="1DCB865D">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783" w:type="dxa"/>
            <w:tcBorders>
              <w:tl2br w:val="nil"/>
              <w:tr2bl w:val="nil"/>
            </w:tcBorders>
            <w:shd w:val="clear" w:color="auto" w:fill="F2F2F2"/>
            <w:vAlign w:val="bottom"/>
          </w:tcPr>
          <w:p w14:paraId="23EE717B">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1273" w:type="dxa"/>
            <w:tcBorders>
              <w:tl2br w:val="nil"/>
              <w:tr2bl w:val="nil"/>
            </w:tcBorders>
            <w:shd w:val="clear" w:color="auto" w:fill="F2F2F2"/>
            <w:vAlign w:val="center"/>
          </w:tcPr>
          <w:p w14:paraId="0D845168">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1280" w:type="dxa"/>
            <w:tcBorders>
              <w:tl2br w:val="nil"/>
              <w:tr2bl w:val="nil"/>
            </w:tcBorders>
            <w:shd w:val="clear" w:color="auto" w:fill="F2F2F2"/>
            <w:vAlign w:val="center"/>
          </w:tcPr>
          <w:p w14:paraId="2833AE77">
            <w:pPr>
              <w:widowControl/>
              <w:jc w:val="center"/>
              <w:textAlignment w:val="center"/>
              <w:rPr>
                <w:rFonts w:hint="eastAsia" w:ascii="微软雅黑" w:hAnsi="微软雅黑" w:eastAsia="微软雅黑" w:cs="微软雅黑"/>
                <w:b/>
                <w:bCs/>
                <w:color w:val="000000"/>
                <w:kern w:val="0"/>
                <w:sz w:val="24"/>
                <w:lang w:bidi="ar"/>
              </w:rPr>
            </w:pPr>
            <w:r>
              <w:rPr>
                <w:rFonts w:hint="eastAsia" w:ascii="微软雅黑" w:hAnsi="微软雅黑" w:eastAsia="微软雅黑" w:cs="微软雅黑"/>
                <w:b/>
                <w:bCs/>
                <w:color w:val="000000"/>
                <w:kern w:val="0"/>
                <w:sz w:val="24"/>
                <w:lang w:bidi="ar"/>
              </w:rPr>
              <w:t>总价限价</w:t>
            </w:r>
          </w:p>
          <w:p w14:paraId="5CECD572">
            <w:pPr>
              <w:widowControl/>
              <w:jc w:val="center"/>
              <w:textAlignment w:val="center"/>
              <w:rPr>
                <w:rFonts w:hint="eastAsia" w:ascii="微软雅黑" w:hAnsi="微软雅黑" w:eastAsia="微软雅黑" w:cs="微软雅黑"/>
                <w:b/>
                <w:bCs/>
                <w:color w:val="000000"/>
                <w:kern w:val="0"/>
                <w:sz w:val="24"/>
                <w:lang w:eastAsia="zh-CN" w:bidi="ar"/>
              </w:rPr>
            </w:pP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14:paraId="31414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vAlign w:val="center"/>
          </w:tcPr>
          <w:p w14:paraId="0CA05C12">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1</w:t>
            </w:r>
          </w:p>
        </w:tc>
        <w:tc>
          <w:tcPr>
            <w:tcW w:w="1248" w:type="dxa"/>
            <w:tcBorders>
              <w:tl2br w:val="nil"/>
              <w:tr2bl w:val="nil"/>
            </w:tcBorders>
            <w:shd w:val="clear" w:color="auto" w:fill="auto"/>
            <w:vAlign w:val="center"/>
          </w:tcPr>
          <w:p w14:paraId="7EF8C5CC">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电子存包柜</w:t>
            </w:r>
          </w:p>
        </w:tc>
        <w:tc>
          <w:tcPr>
            <w:tcW w:w="2791" w:type="dxa"/>
            <w:tcBorders>
              <w:tl2br w:val="nil"/>
              <w:tr2bl w:val="nil"/>
            </w:tcBorders>
            <w:shd w:val="clear" w:color="auto" w:fill="auto"/>
            <w:vAlign w:val="center"/>
          </w:tcPr>
          <w:p w14:paraId="28C92A35">
            <w:pPr>
              <w:widowControl/>
              <w:jc w:val="center"/>
              <w:textAlignment w:val="center"/>
              <w:rPr>
                <w:rFonts w:ascii="Times New Roman" w:hAnsi="Times New Roman" w:eastAsia="宋体" w:cs="Times New Roman"/>
                <w:color w:val="000000"/>
                <w:sz w:val="22"/>
                <w:szCs w:val="22"/>
              </w:rPr>
            </w:pPr>
            <w:r>
              <w:rPr>
                <w:rFonts w:hint="eastAsia" w:ascii="Times New Roman" w:hAnsi="Times New Roman" w:eastAsia="宋体" w:cs="Times New Roman"/>
                <w:color w:val="000000"/>
                <w:sz w:val="22"/>
                <w:szCs w:val="22"/>
              </w:rPr>
              <w:t>见技术参数</w:t>
            </w:r>
          </w:p>
        </w:tc>
        <w:tc>
          <w:tcPr>
            <w:tcW w:w="807" w:type="dxa"/>
            <w:tcBorders>
              <w:tl2br w:val="nil"/>
              <w:tr2bl w:val="nil"/>
            </w:tcBorders>
            <w:shd w:val="clear" w:color="auto" w:fill="auto"/>
            <w:vAlign w:val="center"/>
          </w:tcPr>
          <w:p w14:paraId="4864F9E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w:t>
            </w:r>
          </w:p>
        </w:tc>
        <w:tc>
          <w:tcPr>
            <w:tcW w:w="783" w:type="dxa"/>
            <w:tcBorders>
              <w:tl2br w:val="nil"/>
              <w:tr2bl w:val="nil"/>
            </w:tcBorders>
            <w:shd w:val="clear" w:color="auto" w:fill="auto"/>
            <w:vAlign w:val="center"/>
          </w:tcPr>
          <w:p w14:paraId="64D4447F">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组</w:t>
            </w:r>
          </w:p>
        </w:tc>
        <w:tc>
          <w:tcPr>
            <w:tcW w:w="1273" w:type="dxa"/>
            <w:tcBorders>
              <w:tl2br w:val="nil"/>
              <w:tr2bl w:val="nil"/>
            </w:tcBorders>
            <w:shd w:val="clear" w:color="auto" w:fill="auto"/>
            <w:vAlign w:val="center"/>
          </w:tcPr>
          <w:p w14:paraId="3E54A8B5">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14500</w:t>
            </w:r>
          </w:p>
        </w:tc>
        <w:tc>
          <w:tcPr>
            <w:tcW w:w="1280" w:type="dxa"/>
            <w:tcBorders>
              <w:tl2br w:val="nil"/>
              <w:tr2bl w:val="nil"/>
            </w:tcBorders>
            <w:shd w:val="clear" w:color="auto" w:fill="auto"/>
            <w:vAlign w:val="center"/>
          </w:tcPr>
          <w:p w14:paraId="50D90929">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29000</w:t>
            </w:r>
          </w:p>
        </w:tc>
      </w:tr>
      <w:tr w14:paraId="24208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795" w:type="dxa"/>
            <w:tcBorders>
              <w:tl2br w:val="nil"/>
              <w:tr2bl w:val="nil"/>
            </w:tcBorders>
            <w:shd w:val="clear" w:color="auto" w:fill="auto"/>
            <w:noWrap/>
            <w:vAlign w:val="center"/>
          </w:tcPr>
          <w:p w14:paraId="02E81F1C">
            <w:pPr>
              <w:widowControl/>
              <w:jc w:val="center"/>
              <w:textAlignment w:val="center"/>
              <w:rPr>
                <w:rFonts w:ascii="Times New Roman" w:hAnsi="Times New Roman" w:eastAsia="宋体" w:cs="Times New Roman"/>
                <w:color w:val="000000"/>
                <w:sz w:val="22"/>
                <w:szCs w:val="22"/>
              </w:rPr>
            </w:pPr>
            <w:r>
              <w:rPr>
                <w:rFonts w:ascii="Times New Roman" w:hAnsi="Times New Roman" w:eastAsia="宋体" w:cs="Times New Roman"/>
                <w:color w:val="000000"/>
                <w:kern w:val="0"/>
                <w:sz w:val="22"/>
                <w:szCs w:val="22"/>
                <w:lang w:bidi="ar"/>
              </w:rPr>
              <w:t>总价</w:t>
            </w:r>
          </w:p>
        </w:tc>
        <w:tc>
          <w:tcPr>
            <w:tcW w:w="1248" w:type="dxa"/>
            <w:tcBorders>
              <w:tl2br w:val="nil"/>
              <w:tr2bl w:val="nil"/>
            </w:tcBorders>
            <w:shd w:val="clear" w:color="auto" w:fill="auto"/>
            <w:noWrap/>
            <w:vAlign w:val="center"/>
          </w:tcPr>
          <w:p w14:paraId="1DFE1851">
            <w:pPr>
              <w:jc w:val="center"/>
              <w:rPr>
                <w:rFonts w:ascii="Times New Roman" w:hAnsi="Times New Roman" w:eastAsia="宋体" w:cs="Times New Roman"/>
                <w:color w:val="000000"/>
                <w:sz w:val="22"/>
                <w:szCs w:val="22"/>
              </w:rPr>
            </w:pPr>
          </w:p>
        </w:tc>
        <w:tc>
          <w:tcPr>
            <w:tcW w:w="2791" w:type="dxa"/>
            <w:tcBorders>
              <w:tl2br w:val="nil"/>
              <w:tr2bl w:val="nil"/>
            </w:tcBorders>
            <w:shd w:val="clear" w:color="auto" w:fill="auto"/>
            <w:noWrap/>
            <w:vAlign w:val="center"/>
          </w:tcPr>
          <w:p w14:paraId="37F7962C">
            <w:pPr>
              <w:jc w:val="center"/>
              <w:rPr>
                <w:rFonts w:ascii="Times New Roman" w:hAnsi="Times New Roman" w:eastAsia="宋体" w:cs="Times New Roman"/>
                <w:color w:val="000000"/>
                <w:sz w:val="22"/>
                <w:szCs w:val="22"/>
              </w:rPr>
            </w:pPr>
          </w:p>
        </w:tc>
        <w:tc>
          <w:tcPr>
            <w:tcW w:w="807" w:type="dxa"/>
            <w:tcBorders>
              <w:tl2br w:val="nil"/>
              <w:tr2bl w:val="nil"/>
            </w:tcBorders>
            <w:shd w:val="clear" w:color="auto" w:fill="auto"/>
            <w:noWrap/>
            <w:vAlign w:val="center"/>
          </w:tcPr>
          <w:p w14:paraId="3048F00D">
            <w:pPr>
              <w:jc w:val="center"/>
              <w:rPr>
                <w:rFonts w:ascii="Times New Roman" w:hAnsi="Times New Roman" w:eastAsia="宋体" w:cs="Times New Roman"/>
                <w:color w:val="000000"/>
                <w:sz w:val="22"/>
                <w:szCs w:val="22"/>
              </w:rPr>
            </w:pPr>
          </w:p>
        </w:tc>
        <w:tc>
          <w:tcPr>
            <w:tcW w:w="783" w:type="dxa"/>
            <w:tcBorders>
              <w:tl2br w:val="nil"/>
              <w:tr2bl w:val="nil"/>
            </w:tcBorders>
            <w:shd w:val="clear" w:color="auto" w:fill="auto"/>
            <w:noWrap/>
            <w:vAlign w:val="center"/>
          </w:tcPr>
          <w:p w14:paraId="792DE2EF">
            <w:pPr>
              <w:jc w:val="center"/>
              <w:rPr>
                <w:rFonts w:ascii="Times New Roman" w:hAnsi="Times New Roman" w:eastAsia="宋体" w:cs="Times New Roman"/>
                <w:color w:val="000000"/>
                <w:sz w:val="22"/>
                <w:szCs w:val="22"/>
              </w:rPr>
            </w:pPr>
          </w:p>
        </w:tc>
        <w:tc>
          <w:tcPr>
            <w:tcW w:w="1273" w:type="dxa"/>
            <w:tcBorders>
              <w:tl2br w:val="nil"/>
              <w:tr2bl w:val="nil"/>
            </w:tcBorders>
            <w:shd w:val="clear" w:color="auto" w:fill="auto"/>
            <w:noWrap/>
            <w:vAlign w:val="center"/>
          </w:tcPr>
          <w:p w14:paraId="7067DE36">
            <w:pPr>
              <w:jc w:val="center"/>
              <w:rPr>
                <w:rFonts w:ascii="Times New Roman" w:hAnsi="Times New Roman" w:eastAsia="宋体" w:cs="Times New Roman"/>
                <w:color w:val="000000"/>
                <w:sz w:val="22"/>
                <w:szCs w:val="22"/>
              </w:rPr>
            </w:pPr>
          </w:p>
        </w:tc>
        <w:tc>
          <w:tcPr>
            <w:tcW w:w="1280" w:type="dxa"/>
            <w:tcBorders>
              <w:tl2br w:val="nil"/>
              <w:tr2bl w:val="nil"/>
            </w:tcBorders>
            <w:shd w:val="clear" w:color="auto" w:fill="auto"/>
            <w:noWrap/>
            <w:vAlign w:val="center"/>
          </w:tcPr>
          <w:p w14:paraId="5BC4B354">
            <w:pPr>
              <w:widowControl/>
              <w:jc w:val="center"/>
              <w:textAlignment w:val="center"/>
              <w:rPr>
                <w:rFonts w:hint="default" w:ascii="Times New Roman" w:hAnsi="Times New Roman" w:eastAsia="宋体" w:cs="Times New Roman"/>
                <w:color w:val="000000"/>
                <w:sz w:val="22"/>
                <w:szCs w:val="22"/>
                <w:lang w:val="en-US" w:eastAsia="zh-CN"/>
              </w:rPr>
            </w:pPr>
            <w:r>
              <w:rPr>
                <w:rFonts w:hint="eastAsia" w:ascii="Times New Roman" w:hAnsi="Times New Roman" w:eastAsia="宋体" w:cs="Times New Roman"/>
                <w:color w:val="000000"/>
                <w:sz w:val="22"/>
                <w:szCs w:val="22"/>
                <w:lang w:val="en-US" w:eastAsia="zh-CN"/>
              </w:rPr>
              <w:t>29000</w:t>
            </w:r>
          </w:p>
        </w:tc>
      </w:tr>
    </w:tbl>
    <w:p w14:paraId="3E7F422E"/>
    <w:p w14:paraId="7416F644">
      <w:r>
        <w:rPr>
          <w:rFonts w:hint="eastAsia"/>
        </w:rPr>
        <w:t>注：</w:t>
      </w:r>
    </w:p>
    <w:p w14:paraId="7A579F11">
      <w:pPr>
        <w:jc w:val="left"/>
      </w:pPr>
      <w:r>
        <w:rPr>
          <w:rFonts w:hint="eastAsia"/>
        </w:rPr>
        <w:t>1.报价（含单项报价及总价）任意一项为缺项或超出限价即被认定为无效报价，本次报价按照无效响应处理。</w:t>
      </w:r>
    </w:p>
    <w:p w14:paraId="31F66FF1">
      <w:r>
        <w:rPr>
          <w:rFonts w:hint="eastAsia"/>
        </w:rPr>
        <w:t>2.本合同总价款是全部设备、材料、随设备提供的备品配件及专用工具的价格、全部税金（含进口关税）、包装费、运杂费（运</w:t>
      </w:r>
      <w:bookmarkStart w:id="0" w:name="_GoBack"/>
      <w:bookmarkEnd w:id="0"/>
      <w:r>
        <w:rPr>
          <w:rFonts w:hint="eastAsia"/>
        </w:rPr>
        <w:t>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p w14:paraId="7004DA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xNjkyZTFhNWY2MTJkNDc5MzBhYzI0MzExZDYxNWUifQ=="/>
  </w:docVars>
  <w:rsids>
    <w:rsidRoot w:val="00FF4F13"/>
    <w:rsid w:val="00016C64"/>
    <w:rsid w:val="00052616"/>
    <w:rsid w:val="00087B8E"/>
    <w:rsid w:val="000A0B8E"/>
    <w:rsid w:val="000B7DAC"/>
    <w:rsid w:val="001065B1"/>
    <w:rsid w:val="0016509B"/>
    <w:rsid w:val="00170341"/>
    <w:rsid w:val="001A0169"/>
    <w:rsid w:val="0020185A"/>
    <w:rsid w:val="00222279"/>
    <w:rsid w:val="00257D10"/>
    <w:rsid w:val="00302EA5"/>
    <w:rsid w:val="00341A37"/>
    <w:rsid w:val="003614F1"/>
    <w:rsid w:val="003F6000"/>
    <w:rsid w:val="006B2BE2"/>
    <w:rsid w:val="006C5545"/>
    <w:rsid w:val="007F292A"/>
    <w:rsid w:val="008A7D61"/>
    <w:rsid w:val="008E3941"/>
    <w:rsid w:val="008F2C94"/>
    <w:rsid w:val="00AB215B"/>
    <w:rsid w:val="00AE18CA"/>
    <w:rsid w:val="00AE2D83"/>
    <w:rsid w:val="00AF719F"/>
    <w:rsid w:val="00B265EC"/>
    <w:rsid w:val="00BB0AFE"/>
    <w:rsid w:val="00C94B95"/>
    <w:rsid w:val="00CB2AD7"/>
    <w:rsid w:val="00CB2FC5"/>
    <w:rsid w:val="00CC4BD9"/>
    <w:rsid w:val="00CF531F"/>
    <w:rsid w:val="00D46F28"/>
    <w:rsid w:val="00DA01A0"/>
    <w:rsid w:val="00EC2C6E"/>
    <w:rsid w:val="00F17E01"/>
    <w:rsid w:val="00F343C9"/>
    <w:rsid w:val="00FA174A"/>
    <w:rsid w:val="00FF4F13"/>
    <w:rsid w:val="02844B5F"/>
    <w:rsid w:val="07263D15"/>
    <w:rsid w:val="0F6552F6"/>
    <w:rsid w:val="2A2468A7"/>
    <w:rsid w:val="2A6E0056"/>
    <w:rsid w:val="4FC15D34"/>
    <w:rsid w:val="55FD0290"/>
    <w:rsid w:val="55FD7D17"/>
    <w:rsid w:val="67D802D0"/>
    <w:rsid w:val="76D93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14:ligatures w14:val="none"/>
    </w:rPr>
  </w:style>
  <w:style w:type="character" w:customStyle="1" w:styleId="8">
    <w:name w:val="页脚 字符"/>
    <w:basedOn w:val="6"/>
    <w:link w:val="2"/>
    <w:qFormat/>
    <w:uiPriority w:val="99"/>
    <w:rPr>
      <w:sz w:val="18"/>
      <w:szCs w:val="1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361</Words>
  <Characters>390</Characters>
  <Lines>2</Lines>
  <Paragraphs>1</Paragraphs>
  <TotalTime>0</TotalTime>
  <ScaleCrop>false</ScaleCrop>
  <LinksUpToDate>false</LinksUpToDate>
  <CharactersWithSpaces>390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2024-11-11T09:07:00Z</dcterms:created>
  <dc:creator>玥 涂</dc:creator>
  <cp:lastModifiedBy>廖佳</cp:lastModifiedBy>
  <dcterms:modified xsi:type="dcterms:W3CDTF">2024-11-29T11:24:59Z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6366656C82964649B6153387AE408A10_13</vt:lpwstr>
  </property>
</Properties>
</file>