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009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3、报价方须保证所报价的国产设备在合同签订之日起20个工作日内完成，进口设备应在合同签订之日起60个工作日内完成供货；进口设备</w:t>
      </w:r>
      <w:r>
        <w:rPr>
          <w:rFonts w:hint="eastAsia"/>
          <w:color w:val="FF0000"/>
        </w:rPr>
        <w:t>可以办理免税手续的，只接受人民币报价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4、询价方对本次询价所涉各设备要求的质保期，报价方可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5、履约保证金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</w:rPr>
        <w:t>6、请将本报价单填写并打印于A4纸上，并加盖公章，联系电话，报价单既可以是其中某几个分包的报价，也可以是全部分包的报价。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</w:rPr>
        <w:t>7、请将本报价单密封并于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上午9:30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</w:rPr>
        <w:t>9、询价方将根据各分包的报价情况分别选择供货商：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11、为便于询价方对询价资料进行归档整理，请报价方将提供的各类材料进行简单装订。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12、为便于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上午9:30前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2821253"/>
    <w:rsid w:val="26241D29"/>
    <w:rsid w:val="26E00270"/>
    <w:rsid w:val="279A46C8"/>
    <w:rsid w:val="28AA3562"/>
    <w:rsid w:val="2E64464E"/>
    <w:rsid w:val="31D9039A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1662</Words>
  <Characters>1737</Characters>
  <Lines>12</Lines>
  <Paragraphs>3</Paragraphs>
  <TotalTime>18</TotalTime>
  <ScaleCrop>false</ScaleCrop>
  <LinksUpToDate>false</LinksUpToDate>
  <CharactersWithSpaces>1761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2024-05-31T07:45:23Z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17879F799C674D24BC0A88D6E28C5BAB_13</vt:lpwstr>
  </property>
</Properties>
</file>