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811BC">
      <w:pPr>
        <w:jc w:val="center"/>
        <w:rPr>
          <w:rFonts w:hint="default" w:ascii="微软雅黑" w:hAnsi="微软雅黑" w:eastAsia="微软雅黑" w:cs="微软雅黑"/>
          <w:b/>
          <w:bCs/>
          <w:color w:val="000000"/>
          <w:kern w:val="0"/>
          <w:sz w:val="40"/>
          <w:szCs w:val="40"/>
          <w:lang w:val="en-US" w:bidi="ar"/>
        </w:rPr>
      </w:pPr>
      <w:r>
        <w:rPr>
          <w:rFonts w:hint="eastAsia" w:ascii="微软雅黑" w:hAnsi="微软雅黑" w:eastAsia="微软雅黑" w:cs="微软雅黑"/>
          <w:b/>
          <w:bCs/>
          <w:color w:val="000000"/>
          <w:kern w:val="0"/>
          <w:sz w:val="40"/>
          <w:szCs w:val="40"/>
          <w:lang w:bidi="ar"/>
        </w:rPr>
        <w:t>南京中医药大学</w:t>
      </w:r>
      <w:r>
        <w:rPr>
          <w:rFonts w:hint="eastAsia" w:ascii="微软雅黑" w:hAnsi="微软雅黑" w:eastAsia="微软雅黑" w:cs="微软雅黑"/>
          <w:b/>
          <w:bCs/>
          <w:color w:val="000000"/>
          <w:kern w:val="0"/>
          <w:sz w:val="40"/>
          <w:szCs w:val="40"/>
          <w:lang w:val="en-US" w:eastAsia="zh-CN" w:bidi="ar"/>
        </w:rPr>
        <w:t>信息显示智慧屏</w:t>
      </w:r>
    </w:p>
    <w:p w14:paraId="385BCEFD">
      <w:pPr>
        <w:jc w:val="center"/>
        <w:rPr>
          <w:rFonts w:hint="eastAsia" w:ascii="微软雅黑" w:hAnsi="微软雅黑" w:eastAsia="微软雅黑" w:cs="微软雅黑"/>
          <w:b/>
          <w:bCs/>
          <w:color w:val="000000"/>
          <w:kern w:val="0"/>
          <w:sz w:val="40"/>
          <w:szCs w:val="40"/>
          <w:lang w:bidi="ar"/>
        </w:rPr>
      </w:pPr>
      <w:r>
        <w:rPr>
          <w:rFonts w:hint="eastAsia" w:ascii="微软雅黑" w:hAnsi="微软雅黑" w:eastAsia="微软雅黑" w:cs="微软雅黑"/>
          <w:b/>
          <w:bCs/>
          <w:color w:val="000000"/>
          <w:kern w:val="0"/>
          <w:sz w:val="40"/>
          <w:szCs w:val="40"/>
          <w:lang w:bidi="ar"/>
        </w:rPr>
        <w:t>采购预算表</w:t>
      </w:r>
    </w:p>
    <w:p w14:paraId="35209C5F">
      <w:pPr>
        <w:jc w:val="left"/>
        <w:rPr>
          <w:rFonts w:hint="eastAsia" w:ascii="微软雅黑" w:hAnsi="微软雅黑" w:eastAsia="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61B8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3F1BC7E5">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1248" w:type="dxa"/>
            <w:tcBorders>
              <w:tl2br w:val="nil"/>
              <w:tr2bl w:val="nil"/>
            </w:tcBorders>
            <w:shd w:val="clear" w:color="auto" w:fill="F2F2F2"/>
            <w:vAlign w:val="bottom"/>
          </w:tcPr>
          <w:p w14:paraId="27D07EC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2791" w:type="dxa"/>
            <w:tcBorders>
              <w:tl2br w:val="nil"/>
              <w:tr2bl w:val="nil"/>
            </w:tcBorders>
            <w:shd w:val="clear" w:color="auto" w:fill="F2F2F2"/>
            <w:vAlign w:val="bottom"/>
          </w:tcPr>
          <w:p w14:paraId="049D3373">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807" w:type="dxa"/>
            <w:tcBorders>
              <w:tl2br w:val="nil"/>
              <w:tr2bl w:val="nil"/>
            </w:tcBorders>
            <w:shd w:val="clear" w:color="auto" w:fill="F2F2F2"/>
            <w:vAlign w:val="bottom"/>
          </w:tcPr>
          <w:p w14:paraId="1DCB865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783" w:type="dxa"/>
            <w:tcBorders>
              <w:tl2br w:val="nil"/>
              <w:tr2bl w:val="nil"/>
            </w:tcBorders>
            <w:shd w:val="clear" w:color="auto" w:fill="F2F2F2"/>
            <w:vAlign w:val="bottom"/>
          </w:tcPr>
          <w:p w14:paraId="23EE717B">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1273" w:type="dxa"/>
            <w:tcBorders>
              <w:tl2br w:val="nil"/>
              <w:tr2bl w:val="nil"/>
            </w:tcBorders>
            <w:shd w:val="clear" w:color="auto" w:fill="F2F2F2"/>
            <w:vAlign w:val="center"/>
          </w:tcPr>
          <w:p w14:paraId="0D845168">
            <w:pPr>
              <w:widowControl/>
              <w:jc w:val="center"/>
              <w:textAlignment w:val="center"/>
              <w:rPr>
                <w:rFonts w:hint="eastAsia" w:ascii="微软雅黑" w:hAnsi="微软雅黑" w:eastAsia="微软雅黑" w:cs="微软雅黑"/>
                <w:b/>
                <w:bCs/>
                <w:color w:val="000000"/>
                <w:kern w:val="0"/>
                <w:sz w:val="24"/>
                <w:lang w:bidi="ar"/>
              </w:rPr>
            </w:pPr>
            <w:r>
              <w:rPr>
                <w:rFonts w:hint="eastAsia" w:ascii="微软雅黑" w:hAnsi="微软雅黑" w:eastAsia="微软雅黑" w:cs="微软雅黑"/>
                <w:b/>
                <w:bCs/>
                <w:color w:val="000000"/>
                <w:kern w:val="0"/>
                <w:sz w:val="24"/>
                <w:lang w:bidi="ar"/>
              </w:rPr>
              <w:t>单价限价</w:t>
            </w:r>
          </w:p>
          <w:p w14:paraId="313BBDD7">
            <w:pPr>
              <w:widowControl/>
              <w:jc w:val="center"/>
              <w:textAlignment w:val="center"/>
              <w:rPr>
                <w:rFonts w:hint="eastAsia" w:ascii="微软雅黑" w:hAnsi="微软雅黑" w:eastAsia="微软雅黑" w:cs="微软雅黑"/>
                <w:b/>
                <w:bCs/>
                <w:color w:val="000000"/>
                <w:kern w:val="0"/>
                <w:sz w:val="24"/>
                <w:lang w:val="en-US" w:eastAsia="zh-CN" w:bidi="ar"/>
              </w:rPr>
            </w:pPr>
            <w:r>
              <w:rPr>
                <w:rFonts w:hint="eastAsia" w:ascii="微软雅黑" w:hAnsi="微软雅黑" w:eastAsia="微软雅黑" w:cs="微软雅黑"/>
                <w:b/>
                <w:bCs/>
                <w:color w:val="000000"/>
                <w:kern w:val="0"/>
                <w:sz w:val="24"/>
                <w:lang w:val="en-US" w:eastAsia="zh-CN" w:bidi="ar"/>
              </w:rPr>
              <w:t>（元）</w:t>
            </w:r>
          </w:p>
        </w:tc>
        <w:tc>
          <w:tcPr>
            <w:tcW w:w="1280" w:type="dxa"/>
            <w:tcBorders>
              <w:tl2br w:val="nil"/>
              <w:tr2bl w:val="nil"/>
            </w:tcBorders>
            <w:shd w:val="clear" w:color="auto" w:fill="F2F2F2"/>
            <w:vAlign w:val="center"/>
          </w:tcPr>
          <w:p w14:paraId="2833AE77">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总价限价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r>
      <w:tr w14:paraId="31414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CA05C1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w:t>
            </w:r>
          </w:p>
        </w:tc>
        <w:tc>
          <w:tcPr>
            <w:tcW w:w="1248" w:type="dxa"/>
            <w:tcBorders>
              <w:tl2br w:val="nil"/>
              <w:tr2bl w:val="nil"/>
            </w:tcBorders>
            <w:shd w:val="clear" w:color="auto" w:fill="auto"/>
            <w:vAlign w:val="center"/>
          </w:tcPr>
          <w:p w14:paraId="7EF8C5CC">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信息显示智慧屏</w:t>
            </w:r>
          </w:p>
        </w:tc>
        <w:tc>
          <w:tcPr>
            <w:tcW w:w="2791" w:type="dxa"/>
            <w:tcBorders>
              <w:tl2br w:val="nil"/>
              <w:tr2bl w:val="nil"/>
            </w:tcBorders>
            <w:shd w:val="clear" w:color="auto" w:fill="auto"/>
            <w:vAlign w:val="center"/>
          </w:tcPr>
          <w:p w14:paraId="28C92A35">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详见技术参数</w:t>
            </w:r>
          </w:p>
        </w:tc>
        <w:tc>
          <w:tcPr>
            <w:tcW w:w="807" w:type="dxa"/>
            <w:tcBorders>
              <w:tl2br w:val="nil"/>
              <w:tr2bl w:val="nil"/>
            </w:tcBorders>
            <w:shd w:val="clear" w:color="auto" w:fill="auto"/>
            <w:vAlign w:val="center"/>
          </w:tcPr>
          <w:p w14:paraId="4864F9E9">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2</w:t>
            </w:r>
          </w:p>
        </w:tc>
        <w:tc>
          <w:tcPr>
            <w:tcW w:w="783" w:type="dxa"/>
            <w:tcBorders>
              <w:tl2br w:val="nil"/>
              <w:tr2bl w:val="nil"/>
            </w:tcBorders>
            <w:shd w:val="clear" w:color="auto" w:fill="auto"/>
            <w:vAlign w:val="center"/>
          </w:tcPr>
          <w:p w14:paraId="64D4447F">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台</w:t>
            </w:r>
          </w:p>
        </w:tc>
        <w:tc>
          <w:tcPr>
            <w:tcW w:w="1273" w:type="dxa"/>
            <w:tcBorders>
              <w:tl2br w:val="nil"/>
              <w:tr2bl w:val="nil"/>
            </w:tcBorders>
            <w:shd w:val="clear" w:color="auto" w:fill="auto"/>
            <w:vAlign w:val="center"/>
          </w:tcPr>
          <w:p w14:paraId="3E54A8B5">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24500</w:t>
            </w:r>
          </w:p>
        </w:tc>
        <w:tc>
          <w:tcPr>
            <w:tcW w:w="1280" w:type="dxa"/>
            <w:tcBorders>
              <w:tl2br w:val="nil"/>
              <w:tr2bl w:val="nil"/>
            </w:tcBorders>
            <w:shd w:val="clear" w:color="auto" w:fill="auto"/>
            <w:vAlign w:val="center"/>
          </w:tcPr>
          <w:p w14:paraId="50D90929">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49000</w:t>
            </w:r>
          </w:p>
        </w:tc>
      </w:tr>
      <w:tr w14:paraId="42460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3093CC2D">
            <w:pPr>
              <w:widowControl/>
              <w:jc w:val="center"/>
              <w:textAlignment w:val="center"/>
              <w:rPr>
                <w:rFonts w:ascii="Times New Roman" w:hAnsi="Times New Roman" w:eastAsia="宋体" w:cs="Times New Roman"/>
                <w:color w:val="000000"/>
                <w:kern w:val="0"/>
                <w:sz w:val="22"/>
                <w:szCs w:val="22"/>
                <w:lang w:bidi="ar"/>
              </w:rPr>
            </w:pPr>
          </w:p>
        </w:tc>
        <w:tc>
          <w:tcPr>
            <w:tcW w:w="1248" w:type="dxa"/>
            <w:tcBorders>
              <w:tl2br w:val="nil"/>
              <w:tr2bl w:val="nil"/>
            </w:tcBorders>
            <w:shd w:val="clear" w:color="auto" w:fill="auto"/>
            <w:vAlign w:val="center"/>
          </w:tcPr>
          <w:p w14:paraId="310CA80D">
            <w:pPr>
              <w:widowControl/>
              <w:jc w:val="center"/>
              <w:textAlignment w:val="center"/>
              <w:rPr>
                <w:rFonts w:hint="eastAsia" w:ascii="Times New Roman" w:hAnsi="Times New Roman" w:eastAsia="宋体" w:cs="Times New Roman"/>
                <w:color w:val="000000"/>
                <w:sz w:val="22"/>
                <w:szCs w:val="22"/>
                <w:lang w:val="en-US" w:eastAsia="zh-CN"/>
              </w:rPr>
            </w:pPr>
          </w:p>
        </w:tc>
        <w:tc>
          <w:tcPr>
            <w:tcW w:w="2791" w:type="dxa"/>
            <w:tcBorders>
              <w:tl2br w:val="nil"/>
              <w:tr2bl w:val="nil"/>
            </w:tcBorders>
            <w:shd w:val="clear" w:color="auto" w:fill="auto"/>
            <w:vAlign w:val="center"/>
          </w:tcPr>
          <w:p w14:paraId="4D97BC0F">
            <w:pPr>
              <w:widowControl/>
              <w:jc w:val="center"/>
              <w:textAlignment w:val="center"/>
              <w:rPr>
                <w:rFonts w:hint="default" w:ascii="Times New Roman" w:hAnsi="Times New Roman" w:eastAsia="宋体" w:cs="Times New Roman"/>
                <w:color w:val="000000"/>
                <w:sz w:val="22"/>
                <w:szCs w:val="22"/>
                <w:lang w:val="en-US" w:eastAsia="zh-CN"/>
              </w:rPr>
            </w:pPr>
          </w:p>
        </w:tc>
        <w:tc>
          <w:tcPr>
            <w:tcW w:w="807" w:type="dxa"/>
            <w:tcBorders>
              <w:tl2br w:val="nil"/>
              <w:tr2bl w:val="nil"/>
            </w:tcBorders>
            <w:shd w:val="clear" w:color="auto" w:fill="auto"/>
            <w:vAlign w:val="center"/>
          </w:tcPr>
          <w:p w14:paraId="51167446">
            <w:pPr>
              <w:widowControl/>
              <w:jc w:val="center"/>
              <w:textAlignment w:val="center"/>
              <w:rPr>
                <w:rFonts w:hint="default" w:ascii="Times New Roman" w:hAnsi="Times New Roman" w:eastAsia="宋体" w:cs="Times New Roman"/>
                <w:color w:val="000000"/>
                <w:sz w:val="22"/>
                <w:szCs w:val="22"/>
                <w:lang w:val="en-US" w:eastAsia="zh-CN"/>
              </w:rPr>
            </w:pPr>
          </w:p>
        </w:tc>
        <w:tc>
          <w:tcPr>
            <w:tcW w:w="783" w:type="dxa"/>
            <w:tcBorders>
              <w:tl2br w:val="nil"/>
              <w:tr2bl w:val="nil"/>
            </w:tcBorders>
            <w:shd w:val="clear" w:color="auto" w:fill="auto"/>
            <w:vAlign w:val="center"/>
          </w:tcPr>
          <w:p w14:paraId="65777FB0">
            <w:pPr>
              <w:widowControl/>
              <w:jc w:val="center"/>
              <w:textAlignment w:val="center"/>
              <w:rPr>
                <w:rFonts w:hint="eastAsia" w:ascii="Times New Roman" w:hAnsi="Times New Roman" w:eastAsia="宋体" w:cs="Times New Roman"/>
                <w:color w:val="000000"/>
                <w:kern w:val="0"/>
                <w:sz w:val="22"/>
                <w:szCs w:val="22"/>
                <w:lang w:val="en-US" w:eastAsia="zh-CN" w:bidi="ar"/>
              </w:rPr>
            </w:pPr>
          </w:p>
        </w:tc>
        <w:tc>
          <w:tcPr>
            <w:tcW w:w="1273" w:type="dxa"/>
            <w:tcBorders>
              <w:tl2br w:val="nil"/>
              <w:tr2bl w:val="nil"/>
            </w:tcBorders>
            <w:shd w:val="clear" w:color="auto" w:fill="auto"/>
            <w:vAlign w:val="center"/>
          </w:tcPr>
          <w:p w14:paraId="346A701C">
            <w:pPr>
              <w:widowControl/>
              <w:jc w:val="center"/>
              <w:textAlignment w:val="center"/>
              <w:rPr>
                <w:rFonts w:hint="default" w:ascii="Times New Roman" w:hAnsi="Times New Roman" w:eastAsia="宋体" w:cs="Times New Roman"/>
                <w:color w:val="000000"/>
                <w:kern w:val="0"/>
                <w:sz w:val="22"/>
                <w:szCs w:val="22"/>
                <w:lang w:val="en-US" w:eastAsia="zh-CN" w:bidi="ar"/>
              </w:rPr>
            </w:pPr>
          </w:p>
        </w:tc>
        <w:tc>
          <w:tcPr>
            <w:tcW w:w="1280" w:type="dxa"/>
            <w:tcBorders>
              <w:tl2br w:val="nil"/>
              <w:tr2bl w:val="nil"/>
            </w:tcBorders>
            <w:shd w:val="clear" w:color="auto" w:fill="auto"/>
            <w:vAlign w:val="center"/>
          </w:tcPr>
          <w:p w14:paraId="725BAE99">
            <w:pPr>
              <w:widowControl/>
              <w:jc w:val="center"/>
              <w:textAlignment w:val="center"/>
              <w:rPr>
                <w:rFonts w:hint="default" w:ascii="Times New Roman" w:hAnsi="Times New Roman" w:eastAsia="宋体" w:cs="Times New Roman"/>
                <w:color w:val="000000"/>
                <w:kern w:val="0"/>
                <w:sz w:val="22"/>
                <w:szCs w:val="22"/>
                <w:lang w:val="en-US" w:eastAsia="zh-CN" w:bidi="ar"/>
              </w:rPr>
            </w:pPr>
          </w:p>
        </w:tc>
      </w:tr>
      <w:tr w14:paraId="2420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02E81F1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37F7962C">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3048F00D">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792DE2EF">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7067DE36">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5BC4B354">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4</w:t>
            </w:r>
            <w:bookmarkStart w:id="0" w:name="_GoBack"/>
            <w:bookmarkEnd w:id="0"/>
            <w:r>
              <w:rPr>
                <w:rFonts w:hint="eastAsia" w:ascii="Times New Roman" w:hAnsi="Times New Roman" w:eastAsia="宋体" w:cs="Times New Roman"/>
                <w:color w:val="000000"/>
                <w:sz w:val="22"/>
                <w:szCs w:val="22"/>
                <w:lang w:val="en-US" w:eastAsia="zh-CN"/>
              </w:rPr>
              <w:t>9000</w:t>
            </w:r>
          </w:p>
        </w:tc>
      </w:tr>
    </w:tbl>
    <w:p w14:paraId="0EA097F0">
      <w:pPr>
        <w:rPr>
          <w:rFonts w:hint="eastAsia"/>
        </w:rPr>
      </w:pPr>
    </w:p>
    <w:p w14:paraId="7416F644">
      <w:pPr>
        <w:rPr>
          <w:rFonts w:hint="eastAsia"/>
        </w:rPr>
      </w:pPr>
      <w:r>
        <w:rPr>
          <w:rFonts w:hint="eastAsia"/>
        </w:rPr>
        <w:t>注：</w:t>
      </w:r>
    </w:p>
    <w:p w14:paraId="7A579F11">
      <w:pPr>
        <w:jc w:val="left"/>
        <w:rPr>
          <w:rFonts w:hint="eastAsia"/>
        </w:rPr>
      </w:pPr>
      <w:r>
        <w:rPr>
          <w:rFonts w:hint="eastAsia"/>
        </w:rPr>
        <w:t>1.</w:t>
      </w:r>
      <w:r>
        <w:rPr>
          <w:rFonts w:hint="eastAsia"/>
          <w:lang w:val="en-US" w:eastAsia="zh-CN"/>
        </w:rPr>
        <w:t>报价（含单项报价及总价）任意一项为缺项或超出限价即被认定为无效报价，本次报价按照无效响应处理</w:t>
      </w:r>
      <w:r>
        <w:rPr>
          <w:rFonts w:hint="eastAsia"/>
        </w:rPr>
        <w:t>。</w:t>
      </w:r>
    </w:p>
    <w:p w14:paraId="31F66FF1">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341A37"/>
    <w:rsid w:val="003614F1"/>
    <w:rsid w:val="006C5545"/>
    <w:rsid w:val="007F292A"/>
    <w:rsid w:val="008E3941"/>
    <w:rsid w:val="008F2C94"/>
    <w:rsid w:val="00AB215B"/>
    <w:rsid w:val="00AE2D83"/>
    <w:rsid w:val="00AF719F"/>
    <w:rsid w:val="00B265EC"/>
    <w:rsid w:val="00BB0AFE"/>
    <w:rsid w:val="00C94B95"/>
    <w:rsid w:val="00CB2AD7"/>
    <w:rsid w:val="00CB2FC5"/>
    <w:rsid w:val="00CF531F"/>
    <w:rsid w:val="00D46F28"/>
    <w:rsid w:val="00DA01A0"/>
    <w:rsid w:val="00EC2C6E"/>
    <w:rsid w:val="00F17E01"/>
    <w:rsid w:val="00F343C9"/>
    <w:rsid w:val="00FA174A"/>
    <w:rsid w:val="00FF4F13"/>
    <w:rsid w:val="07263D15"/>
    <w:rsid w:val="2A2468A7"/>
    <w:rsid w:val="55FD0290"/>
    <w:rsid w:val="55FD7D17"/>
    <w:rsid w:val="610F01AA"/>
    <w:rsid w:val="67D802D0"/>
    <w:rsid w:val="76D93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14:ligatures w14:val="none"/>
    </w:rPr>
  </w:style>
  <w:style w:type="character" w:customStyle="1" w:styleId="8">
    <w:name w:val="页脚 字符"/>
    <w:basedOn w:val="6"/>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330</Words>
  <Characters>350</Characters>
  <Lines>2</Lines>
  <Paragraphs>1</Paragraphs>
  <TotalTime>1</TotalTime>
  <ScaleCrop>false</ScaleCrop>
  <LinksUpToDate>false</LinksUpToDate>
  <CharactersWithSpaces>350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2024-07-04T13:28:00Z</dcterms:created>
  <dc:creator>玥 涂</dc:creator>
  <cp:lastModifiedBy>廖佳</cp:lastModifiedBy>
  <dcterms:modified xsi:type="dcterms:W3CDTF">2024-11-11T08:34:51Z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2E62B53E86844A989428B3BF853476DB_13</vt:lpwstr>
  </property>
</Properties>
</file>