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421785D">
      <w:pPr>
        <w:pStyle w:val="style0"/>
        <w:jc w:val="center"/>
        <w:rPr/>
      </w:pPr>
      <w:r>
        <w:rPr>
          <w:rFonts w:hint="eastAsia"/>
          <w:sz w:val="32"/>
          <w:szCs w:val="32"/>
        </w:rPr>
        <w:t>技术参数要求确认单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93"/>
        <w:gridCol w:w="1517"/>
        <w:gridCol w:w="1701"/>
        <w:gridCol w:w="2205"/>
      </w:tblGrid>
      <w:tr w14:paraId="2447AACA">
        <w:trPr>
          <w:trHeight w:val="897" w:hRule="atLeast"/>
        </w:trPr>
        <w:tc>
          <w:tcPr>
            <w:tcW w:w="8296" w:type="dxa"/>
            <w:gridSpan w:val="5"/>
            <w:tcBorders/>
            <w:vAlign w:val="center"/>
          </w:tcPr>
          <w:p w14:paraId="345E64A4">
            <w:pPr>
              <w:pStyle w:val="style0"/>
              <w:rPr/>
            </w:pPr>
            <w:r>
              <w:rPr>
                <w:rFonts w:hint="eastAsia"/>
                <w:sz w:val="24"/>
                <w:szCs w:val="24"/>
              </w:rPr>
              <w:t>项目名称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中医药大模型算力租用和运维服务</w:t>
            </w:r>
          </w:p>
        </w:tc>
      </w:tr>
      <w:tr w14:paraId="4D321535">
        <w:tblPrEx/>
        <w:trPr>
          <w:trHeight w:val="563" w:hRule="atLeast"/>
        </w:trPr>
        <w:tc>
          <w:tcPr>
            <w:tcW w:w="1980" w:type="dxa"/>
            <w:tcBorders/>
            <w:vAlign w:val="center"/>
          </w:tcPr>
          <w:p w14:paraId="6C6FDE99">
            <w:pPr>
              <w:pStyle w:val="style0"/>
              <w:rPr/>
            </w:pPr>
            <w:r>
              <w:rPr>
                <w:rFonts w:hint="eastAsia"/>
              </w:rPr>
              <w:t>联系人</w:t>
            </w:r>
          </w:p>
        </w:tc>
        <w:tc>
          <w:tcPr>
            <w:tcW w:w="2410" w:type="dxa"/>
            <w:gridSpan w:val="2"/>
            <w:tcBorders/>
            <w:vAlign w:val="center"/>
          </w:tcPr>
          <w:p w14:paraId="1ABB7DE8">
            <w:pPr>
              <w:pStyle w:val="style0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郎许锋</w:t>
            </w:r>
          </w:p>
        </w:tc>
        <w:tc>
          <w:tcPr>
            <w:tcW w:w="1701" w:type="dxa"/>
            <w:tcBorders/>
            <w:vAlign w:val="center"/>
          </w:tcPr>
          <w:p w14:paraId="25D9FD88">
            <w:pPr>
              <w:pStyle w:val="style0"/>
              <w:rPr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5" w:type="dxa"/>
            <w:tcBorders/>
            <w:vAlign w:val="center"/>
          </w:tcPr>
          <w:p w14:paraId="36E0127D">
            <w:pPr>
              <w:pStyle w:val="style0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18251955296</w:t>
            </w:r>
          </w:p>
        </w:tc>
      </w:tr>
      <w:tr w14:paraId="085FDCAF">
        <w:tblPrEx/>
        <w:trPr>
          <w:trHeight w:val="554" w:hRule="atLeast"/>
        </w:trPr>
        <w:tc>
          <w:tcPr>
            <w:tcW w:w="2873" w:type="dxa"/>
            <w:gridSpan w:val="2"/>
            <w:tcBorders/>
            <w:vAlign w:val="center"/>
          </w:tcPr>
          <w:p w14:paraId="15647D41">
            <w:pPr>
              <w:pStyle w:val="style0"/>
              <w:rPr/>
            </w:pPr>
            <w:r>
              <w:rPr>
                <w:rFonts w:hint="eastAsia"/>
              </w:rPr>
              <w:t>项目</w:t>
            </w:r>
            <w:r>
              <w:t>预算</w:t>
            </w:r>
          </w:p>
        </w:tc>
        <w:tc>
          <w:tcPr>
            <w:tcW w:w="5423" w:type="dxa"/>
            <w:gridSpan w:val="3"/>
            <w:tcBorders/>
            <w:vAlign w:val="center"/>
          </w:tcPr>
          <w:p w14:paraId="4B25E8C6">
            <w:pPr>
              <w:pStyle w:val="style0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15万</w:t>
            </w:r>
          </w:p>
        </w:tc>
      </w:tr>
      <w:tr w14:paraId="3BAEDDCB">
        <w:tblPrEx/>
        <w:trPr>
          <w:trHeight w:val="2058" w:hRule="atLeast"/>
        </w:trPr>
        <w:tc>
          <w:tcPr>
            <w:tcW w:w="8296" w:type="dxa"/>
            <w:gridSpan w:val="5"/>
            <w:tcBorders/>
            <w:vAlign w:val="center"/>
          </w:tcPr>
          <w:p w14:paraId="60A1D680">
            <w:pPr>
              <w:pStyle w:val="style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b w:val="false"/>
                <w:bCs w:val="false"/>
              </w:rPr>
              <w:t>主要用途描述：</w:t>
            </w:r>
            <w:r>
              <w:rPr>
                <w:rFonts w:hint="eastAsia"/>
                <w:b w:val="false"/>
                <w:bCs w:val="false"/>
                <w:lang w:val="en-US" w:eastAsia="zh-CN"/>
              </w:rPr>
              <w:t>用于学校灵山中医大模型、素山中药大模型部署和运维</w:t>
            </w:r>
            <w:r>
              <w:rPr>
                <w:rFonts w:hint="eastAsia"/>
                <w:b w:val="false"/>
                <w:bCs w:val="false"/>
              </w:rPr>
              <w:t>，确保其具备良好的运行稳定性与响应速度</w:t>
            </w:r>
            <w:r>
              <w:rPr>
                <w:rFonts w:hint="eastAsia"/>
                <w:b w:val="false"/>
                <w:bCs w:val="false"/>
                <w:lang w:eastAsia="zh-CN"/>
              </w:rPr>
              <w:t>；大模型将应用于</w:t>
            </w:r>
            <w:r>
              <w:rPr>
                <w:rFonts w:hint="eastAsia"/>
                <w:b w:val="false"/>
                <w:bCs w:val="false"/>
                <w:lang w:val="en-US" w:eastAsia="zh-CN"/>
              </w:rPr>
              <w:t>支撑中药学、中医学、中西医结合主体学科的“助学、助教、助研”，以及中药学“教育部首批生成式人工智能教育专用大模型建设项目”申报，并面向全国提供具有南中医特色的中医药大模型服务，助力中医药传承创新高质量发展。</w:t>
            </w:r>
          </w:p>
        </w:tc>
      </w:tr>
      <w:tr w14:paraId="5D59247C">
        <w:tblPrEx/>
        <w:trPr>
          <w:trHeight w:val="1833" w:hRule="atLeast"/>
        </w:trPr>
        <w:tc>
          <w:tcPr>
            <w:tcW w:w="8296" w:type="dxa"/>
            <w:gridSpan w:val="5"/>
            <w:tcBorders/>
          </w:tcPr>
          <w:p w14:paraId="3E7F80CC">
            <w:pPr>
              <w:pStyle w:val="style0"/>
              <w:rPr/>
            </w:pPr>
            <w:r>
              <w:rPr>
                <w:rFonts w:hint="eastAsia"/>
              </w:rPr>
              <w:t>参数要求：</w:t>
            </w:r>
          </w:p>
          <w:p w14:paraId="368F211E">
            <w:pPr>
              <w:pStyle w:val="style0"/>
              <w:rPr/>
            </w:pPr>
            <w:r>
              <w:rPr>
                <w:rFonts w:hint="eastAsia"/>
              </w:rPr>
              <w:t>一、硬件配置参数（数量：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套）</w:t>
            </w:r>
          </w:p>
          <w:p w14:paraId="6BA2982B">
            <w:pPr>
              <w:pStyle w:val="style0"/>
              <w:ind w:firstLine="420" w:firstLineChars="200"/>
              <w:rPr>
                <w:rFonts w:ascii="Times New Roman" w:cs="Times New Roman" w:hAnsi="Times New Roman" w:hint="default"/>
                <w:b w:val="false"/>
                <w:bCs w:val="false"/>
                <w:lang w:val="en-US" w:eastAsia="zh-CN"/>
              </w:rPr>
            </w:pPr>
            <w:r>
              <w:rPr>
                <w:rFonts w:ascii="Times New Roman" w:cs="Times New Roman" w:hAnsi="Times New Roman" w:hint="default"/>
                <w:b w:val="false"/>
                <w:bCs w:val="false"/>
                <w:lang w:val="en-US" w:eastAsia="zh-CN"/>
              </w:rPr>
              <w:t>计算卡：具备高算力、大显存的GPU（如NVIDIA A100、H100、A800等）8卡，支持NVLink全互联。</w:t>
            </w:r>
          </w:p>
          <w:p w14:paraId="1D55C533">
            <w:pPr>
              <w:pStyle w:val="style0"/>
              <w:ind w:firstLine="420" w:firstLineChars="200"/>
              <w:rPr>
                <w:rFonts w:ascii="Times New Roman" w:cs="Times New Roman" w:hAnsi="Times New Roman" w:hint="default"/>
                <w:b w:val="false"/>
                <w:bCs w:val="false"/>
                <w:lang w:val="en-US" w:eastAsia="zh-CN"/>
              </w:rPr>
            </w:pPr>
            <w:r>
              <w:rPr>
                <w:rFonts w:ascii="Times New Roman" w:cs="Times New Roman" w:hAnsi="Times New Roman" w:hint="default"/>
                <w:b w:val="false"/>
                <w:bCs w:val="false"/>
                <w:lang w:val="en-US" w:eastAsia="zh-CN"/>
              </w:rPr>
              <w:t>内存：不低于DDR5 4800MHz RDIMM 1.5TB。</w:t>
            </w:r>
          </w:p>
          <w:p w14:paraId="52D32EA7">
            <w:pPr>
              <w:pStyle w:val="style0"/>
              <w:ind w:firstLine="420" w:firstLineChars="200"/>
              <w:rPr>
                <w:rFonts w:ascii="Times New Roman" w:cs="Times New Roman" w:hAnsi="Times New Roman" w:hint="default"/>
                <w:b w:val="false"/>
                <w:bCs w:val="false"/>
                <w:lang w:val="en-US" w:eastAsia="zh-CN"/>
              </w:rPr>
            </w:pPr>
            <w:r>
              <w:rPr>
                <w:rFonts w:ascii="Times New Roman" w:cs="Times New Roman" w:hAnsi="Times New Roman" w:hint="default"/>
                <w:b w:val="false"/>
                <w:bCs w:val="false"/>
                <w:lang w:val="en-US" w:eastAsia="zh-CN"/>
              </w:rPr>
              <w:t>CPU：不低于AMD EPYC 9654 (96核/192线程)或同等核心及算力。</w:t>
            </w:r>
          </w:p>
          <w:p w14:paraId="7C1ADABB">
            <w:pPr>
              <w:pStyle w:val="style0"/>
              <w:ind w:firstLine="420" w:firstLineChars="200"/>
              <w:rPr>
                <w:rFonts w:ascii="Times New Roman" w:cs="Times New Roman" w:hAnsi="Times New Roman" w:hint="default"/>
                <w:b w:val="false"/>
                <w:bCs w:val="false"/>
                <w:lang w:val="en-US" w:eastAsia="zh-CN"/>
              </w:rPr>
            </w:pPr>
            <w:r>
              <w:rPr>
                <w:rFonts w:ascii="Times New Roman" w:cs="Times New Roman" w:hAnsi="Times New Roman" w:hint="default"/>
                <w:b w:val="false"/>
                <w:bCs w:val="false"/>
                <w:lang w:val="en-US" w:eastAsia="zh-CN"/>
              </w:rPr>
              <w:t>存储：不低于PCIe 5.0 SSD U.2 8TB。</w:t>
            </w:r>
          </w:p>
          <w:p w14:paraId="73D69D2B">
            <w:pPr>
              <w:pStyle w:val="style0"/>
              <w:ind w:firstLine="420" w:firstLineChars="200"/>
              <w:rPr>
                <w:rFonts w:ascii="Times New Roman" w:cs="Times New Roman" w:hAnsi="Times New Roman" w:hint="default"/>
                <w:b w:val="false"/>
                <w:bCs w:val="false"/>
                <w:lang w:val="en-US" w:eastAsia="zh-CN"/>
              </w:rPr>
            </w:pPr>
            <w:r>
              <w:rPr>
                <w:rFonts w:ascii="Times New Roman" w:cs="Times New Roman" w:hAnsi="Times New Roman" w:hint="default"/>
                <w:b w:val="false"/>
                <w:bCs w:val="false"/>
                <w:lang w:val="en-US" w:eastAsia="zh-CN"/>
              </w:rPr>
              <w:t>网络：不低于100GbE RoCEv2网卡。</w:t>
            </w:r>
          </w:p>
          <w:p w14:paraId="3EFD4223">
            <w:pPr>
              <w:pStyle w:val="style0"/>
              <w:ind w:firstLine="420" w:firstLineChars="200"/>
              <w:rPr>
                <w:rFonts w:ascii="Times New Roman" w:cs="Times New Roman" w:hAnsi="Times New Roman" w:hint="default"/>
                <w:b w:val="false"/>
                <w:bCs w:val="false"/>
                <w:lang w:val="en-US" w:eastAsia="zh-CN"/>
              </w:rPr>
            </w:pPr>
            <w:r>
              <w:rPr>
                <w:rFonts w:ascii="Times New Roman" w:cs="Times New Roman" w:hAnsi="Times New Roman" w:hint="default"/>
                <w:b w:val="false"/>
                <w:bCs w:val="false"/>
                <w:lang w:val="en-US" w:eastAsia="zh-CN"/>
              </w:rPr>
              <w:t>互联拓扑：支持NVIDIA Quantum-2 InfiniBand，服务器间通信不低于200Gb/s。</w:t>
            </w:r>
          </w:p>
          <w:p w14:paraId="553B4810">
            <w:pPr>
              <w:pStyle w:val="style0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软件配置参数（数量：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套）</w:t>
            </w:r>
          </w:p>
          <w:p w14:paraId="756B5C41">
            <w:pPr>
              <w:pStyle w:val="style0"/>
              <w:numPr>
                <w:ilvl w:val="0"/>
                <w:numId w:val="0"/>
              </w:numPr>
              <w:ind w:firstLine="420" w:firstLineChars="200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 w:val="false"/>
                <w:bCs w:val="false"/>
                <w:lang w:val="en-US" w:eastAsia="zh-CN"/>
              </w:rPr>
              <w:t>支持pytorch、cuda。</w:t>
            </w:r>
          </w:p>
          <w:p w14:paraId="7D9383AC">
            <w:pPr>
              <w:pStyle w:val="style0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</w:rPr>
            </w:pPr>
            <w:r>
              <w:t>服务</w:t>
            </w:r>
            <w:r>
              <w:rPr>
                <w:rFonts w:hint="eastAsia"/>
              </w:rPr>
              <w:t>要求</w:t>
            </w:r>
          </w:p>
          <w:p w14:paraId="4BFDFE2E">
            <w:pPr>
              <w:pStyle w:val="style0"/>
              <w:numPr>
                <w:ilvl w:val="0"/>
                <w:numId w:val="0"/>
              </w:numPr>
              <w:ind w:leftChars="0" w:firstLine="420" w:firstLineChars="200"/>
              <w:rPr>
                <w:rFonts w:hint="default"/>
                <w:b w:val="false"/>
                <w:bCs w:val="false"/>
                <w:lang w:val="en-US" w:eastAsia="zh-CN"/>
              </w:rPr>
            </w:pPr>
            <w:r>
              <w:rPr>
                <w:rFonts w:hint="eastAsia"/>
                <w:b w:val="false"/>
                <w:bCs w:val="false"/>
                <w:lang w:val="en-US" w:eastAsia="zh-CN"/>
              </w:rPr>
              <w:t>（1）验收之日起，提供61天的服务。</w:t>
            </w:r>
          </w:p>
          <w:p w14:paraId="12C2967C">
            <w:pPr>
              <w:pStyle w:val="style0"/>
              <w:numPr>
                <w:ilvl w:val="0"/>
                <w:numId w:val="0"/>
              </w:numPr>
              <w:ind w:leftChars="0" w:firstLine="420" w:firstLineChars="200"/>
              <w:rPr>
                <w:rFonts w:hint="default"/>
                <w:b w:val="false"/>
                <w:bCs w:val="false"/>
                <w:lang w:val="en-US" w:eastAsia="zh-CN"/>
              </w:rPr>
            </w:pPr>
            <w:r>
              <w:rPr>
                <w:rFonts w:hint="eastAsia"/>
                <w:b w:val="false"/>
                <w:bCs w:val="false"/>
                <w:lang w:val="en-US" w:eastAsia="zh-CN"/>
              </w:rPr>
              <w:t>（2）服务期间提供7×24的算力运维服务，出现问题及时解决；因服务方原因导致的大模型服务中断，根据中断时长（小时），折算相应费用双倍扣款。</w:t>
            </w:r>
          </w:p>
          <w:p w14:paraId="29FC1925">
            <w:pPr>
              <w:pStyle w:val="style0"/>
              <w:numPr>
                <w:ilvl w:val="0"/>
                <w:numId w:val="0"/>
              </w:numPr>
              <w:ind w:leftChars="0" w:firstLine="420" w:firstLineChars="200"/>
              <w:rPr>
                <w:rFonts w:hint="eastAsia"/>
                <w:b w:val="false"/>
                <w:bCs w:val="false"/>
                <w:lang w:val="en-US" w:eastAsia="zh-CN"/>
              </w:rPr>
            </w:pPr>
            <w:r>
              <w:rPr>
                <w:rFonts w:hint="eastAsia"/>
                <w:b w:val="false"/>
                <w:bCs w:val="false"/>
                <w:lang w:val="en-US" w:eastAsia="zh-CN"/>
              </w:rPr>
              <w:t>（3）提供中医药复杂数据处理和大模型训练和微调服务，持续提升大模型性能。</w:t>
            </w:r>
          </w:p>
          <w:p w14:paraId="308639B9">
            <w:pPr>
              <w:pStyle w:val="style0"/>
              <w:numPr>
                <w:ilvl w:val="0"/>
                <w:numId w:val="0"/>
              </w:numPr>
              <w:ind w:leftChars="0" w:firstLine="420" w:firstLineChars="200"/>
              <w:rPr>
                <w:rFonts w:hint="eastAsia"/>
                <w:b w:val="false"/>
                <w:bCs w:val="false"/>
                <w:lang w:val="en-US" w:eastAsia="zh-CN"/>
              </w:rPr>
            </w:pPr>
            <w:r>
              <w:rPr>
                <w:rFonts w:hint="eastAsia"/>
                <w:b w:val="false"/>
                <w:bCs w:val="false"/>
                <w:lang w:val="en-US" w:eastAsia="zh-CN"/>
              </w:rPr>
              <w:t>（4）提供大模型网络安全相关服务支持。</w:t>
            </w:r>
          </w:p>
          <w:p w14:paraId="6AF35A69">
            <w:pPr>
              <w:pStyle w:val="style0"/>
              <w:rPr>
                <w:rFonts w:ascii="宋体" w:cs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sz w:val="21"/>
                <w:szCs w:val="21"/>
              </w:rPr>
              <w:t>四、公司资质</w:t>
            </w:r>
          </w:p>
          <w:p w14:paraId="746ACE67">
            <w:pPr>
              <w:pStyle w:val="style0"/>
              <w:ind w:firstLine="420" w:firstLineChars="0"/>
              <w:rPr>
                <w:rFonts w:ascii="宋体" w:cs="宋体" w:eastAsia="宋体" w:hAnsi="宋体" w:hint="default"/>
                <w:b w:val="false"/>
                <w:bCs w:val="false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  <w:lang w:val="en-US" w:eastAsia="zh-CN"/>
              </w:rPr>
              <w:t>国家高新技术企业</w:t>
            </w:r>
            <w:r>
              <w:rPr>
                <w:rFonts w:ascii="宋体" w:cs="宋体" w:eastAsia="宋体" w:hAnsi="宋体" w:hint="default"/>
                <w:b w:val="false"/>
                <w:bCs w:val="false"/>
                <w:sz w:val="21"/>
                <w:szCs w:val="21"/>
                <w:lang w:val="en-US" w:eastAsia="zh-CN"/>
              </w:rPr>
              <w:t>。</w:t>
            </w:r>
          </w:p>
          <w:p w14:paraId="782F9478">
            <w:pPr>
              <w:pStyle w:val="style0"/>
              <w:rPr/>
            </w:pPr>
          </w:p>
        </w:tc>
      </w:tr>
    </w:tbl>
    <w:p w14:paraId="3FD99638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DFDCBCBD"/>
    <w:lvl w:ilvl="0">
      <w:start w:val="2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宋体" w:cs="宋体" w:eastAsia="宋体" w:hAnsi="宋体"/>
      <w:b/>
      <w:bCs/>
      <w:kern w:val="2"/>
      <w:sz w:val="21"/>
      <w:szCs w:val="21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kern w:val="2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519</Words>
  <Pages>1</Pages>
  <Characters>643</Characters>
  <Application>WPS Office</Application>
  <DocSecurity>0</DocSecurity>
  <Paragraphs>33</Paragraphs>
  <ScaleCrop>false</ScaleCrop>
  <Company>南京中医药大学</Company>
  <LinksUpToDate>false</LinksUpToDate>
  <CharactersWithSpaces>657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2024-10-16T23:18:00Z</dcterms:created>
  <dc:creator>汤凡</dc:creator>
  <lastModifiedBy>NOH-AN00</lastModifiedBy>
  <lastPrinted>2024-11-29T05:43:00Z</lastPrinted>
  <dcterms:modified xsi:type="dcterms:W3CDTF">2025-06-06T02:18:25Z</dcterms:modified>
  <revision>95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EC353F6529534D96A1D953DA6FF28B69_13</vt:lpwstr>
  </property>
  <property fmtid="{D5CDD505-2E9C-101B-9397-08002B2CF9AE}" pid="4" name="KSOTemplateDocerSaveRecord">
    <vt:lpwstr>eyJoZGlkIjoiYzhjN2E2ZmNlMDc3ZjdhYTBhMTc5MDliN2U0NWIyZDIiLCJ1c2VySWQiOiIyNDc1MDMyNjIifQ==</vt:lpwstr>
  </property>
</Properties>
</file>