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5E4F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52D4CF0B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30C9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4917CAB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：全波长多功能酶标仪</w:t>
            </w:r>
          </w:p>
        </w:tc>
      </w:tr>
      <w:tr w14:paraId="607A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DDFE80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51D4DA76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程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DCDC81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0A830C48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15651999831</w:t>
            </w:r>
          </w:p>
        </w:tc>
      </w:tr>
      <w:tr w14:paraId="18C1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629D3D4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4545906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26万元</w:t>
            </w:r>
          </w:p>
        </w:tc>
      </w:tr>
      <w:tr w14:paraId="744A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0B2CD0B4">
            <w:pPr>
              <w:spacing w:line="4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5EC986F0">
            <w:pPr>
              <w:spacing w:line="4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用于DNA/RNA/蛋白质测试及定量；细胞毒性、荧光蛋白等分子生物学实验测定</w:t>
            </w:r>
            <w:r>
              <w:rPr>
                <w:rFonts w:ascii="宋体" w:hAnsi="宋体" w:eastAsia="宋体"/>
              </w:rPr>
              <w:t>。</w:t>
            </w:r>
          </w:p>
        </w:tc>
      </w:tr>
      <w:tr w14:paraId="58E8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1F1C0950">
            <w:pPr>
              <w:pStyle w:val="2"/>
              <w:spacing w:line="276" w:lineRule="auto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119E06C6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*</w:t>
            </w:r>
            <w:r>
              <w:rPr>
                <w:rFonts w:ascii="Times New Roman" w:hAnsi="Times New Roman" w:eastAsia="宋体"/>
              </w:rPr>
              <w:t>1、检测类型：6~384孔微孔板、标准1cm立式比色皿，最高支持≥48孔超微量检测板（2μl或4μl）</w:t>
            </w:r>
          </w:p>
          <w:p w14:paraId="7676A30F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*2、应用范围：紫外/可见光吸收、荧光强度；化学发光、时间分辨荧光，以上所有功能波长连续可调，1nm步进</w:t>
            </w:r>
          </w:p>
          <w:p w14:paraId="405A5B14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3、光吸收</w:t>
            </w:r>
          </w:p>
          <w:p w14:paraId="6564E601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*3.1、波长范围：200nm~1000nm，1nm可调</w:t>
            </w:r>
          </w:p>
          <w:p w14:paraId="6AD8A919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*3.2、带宽：≤4.0nm</w:t>
            </w:r>
          </w:p>
          <w:p w14:paraId="14DC2423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3.3、波长精确度：±2.0nm</w:t>
            </w:r>
          </w:p>
          <w:p w14:paraId="5C631686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3.4、波长重复性：±0.2nm</w:t>
            </w:r>
          </w:p>
          <w:p w14:paraId="6063FB47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3.5、光度量范围：0-4.000(OD)</w:t>
            </w:r>
          </w:p>
          <w:p w14:paraId="76ABC282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3.6、分光检测分辨率：0.001OD</w:t>
            </w:r>
          </w:p>
          <w:p w14:paraId="3651EEC3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3.7、测定准确度(微孔板)：&lt;±0.006OD±1.0%,0-2.0OD</w:t>
            </w:r>
          </w:p>
          <w:p w14:paraId="00417A4C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3.8、测定准确度(比色皿)：&lt;±0.005OD±1.0%,0-2.0OD</w:t>
            </w:r>
          </w:p>
          <w:p w14:paraId="6AFD65B6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3.9、测定精确度：&lt;±0.003OD±1.0%,0-2.0OD</w:t>
            </w:r>
          </w:p>
          <w:p w14:paraId="1633E87D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3.10、基线准确性：&lt;0.001OD</w:t>
            </w:r>
          </w:p>
          <w:p w14:paraId="606ABE87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3.11、杂散光：&lt;0.05%@230nm</w:t>
            </w:r>
          </w:p>
          <w:p w14:paraId="7A1C26F1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4、荧光：</w:t>
            </w:r>
          </w:p>
          <w:p w14:paraId="250EECF4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4.1、微孔板检测模式：微孔板顶部检测</w:t>
            </w:r>
          </w:p>
          <w:p w14:paraId="48A51ACA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*4.2、波长范围：EX 250nm~850nm；EM 360nm-850nm</w:t>
            </w:r>
          </w:p>
          <w:p w14:paraId="0101A289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4.3、带宽(EX,EM)：9nm，9nm</w:t>
            </w:r>
          </w:p>
          <w:p w14:paraId="36C50B81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4.4、顶部读取检测灵敏度：5pM荧光素，96孔板</w:t>
            </w:r>
          </w:p>
          <w:p w14:paraId="4057345F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5、化学发光：</w:t>
            </w:r>
          </w:p>
          <w:p w14:paraId="6C810404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5.1、微孔板检测模式：微孔板顶部检测</w:t>
            </w:r>
          </w:p>
          <w:p w14:paraId="2C83EFB0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*5.2、波长范围：360nm~850nm</w:t>
            </w:r>
          </w:p>
          <w:p w14:paraId="5C8EEB82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5.2、检测灵敏度：50fmol/孔 碱性磷酸酶</w:t>
            </w:r>
          </w:p>
          <w:p w14:paraId="71EDB962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6、时间分辨荧光性能：</w:t>
            </w:r>
          </w:p>
          <w:p w14:paraId="47EDD8AA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6.1、微孔板检测模式：微孔板顶部检测</w:t>
            </w:r>
          </w:p>
          <w:p w14:paraId="0A9DD989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6.2、波长范围：360nm~850nm</w:t>
            </w:r>
          </w:p>
          <w:p w14:paraId="64AF2633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6.3、数据采集：50-1450μsec，200 μsec步进</w:t>
            </w:r>
          </w:p>
          <w:p w14:paraId="2E594CAB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6.4、灵敏度：7pM铕元素</w:t>
            </w:r>
          </w:p>
          <w:p w14:paraId="32DF034E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*7、温度控制：室温+4°C ~45°C</w:t>
            </w:r>
          </w:p>
          <w:p w14:paraId="308E903E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8、温度均一性：±0.5°C at 37°C</w:t>
            </w:r>
          </w:p>
          <w:p w14:paraId="68406A3F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9、温度准确性：±1°C at 37°C</w:t>
            </w:r>
          </w:p>
          <w:p w14:paraId="0A38D6EB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10、震荡方式：线性，0-999秒</w:t>
            </w:r>
          </w:p>
          <w:p w14:paraId="4199BBA7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11、光源：闪烁式高能氙灯</w:t>
            </w:r>
          </w:p>
          <w:p w14:paraId="41C0DE0B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12、检测模式：终点法、动力学法、光谱扫描、单孔多点扫描</w:t>
            </w:r>
          </w:p>
          <w:p w14:paraId="1F1326D0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*13、PMT增益：自动可调（AUTO-PMT），可进行自动增益调节，依据每孔的样本浓度进行检测电压优化，再进行原始数据的均一化，确保每孔或每板之间检测结果的一致性。</w:t>
            </w:r>
          </w:p>
          <w:p w14:paraId="3CC4B2BC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14、配有光径传感器技术，可以将实测的光密度值校正为1cm光径下的吸光度值，使对微孔板的测读达到分光光度计的精度，校正结果不随温度变化而变化</w:t>
            </w:r>
          </w:p>
          <w:p w14:paraId="6109A079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*15、标准1cm立式比色皿检测模式：支持光吸收检测、荧光强度检测</w:t>
            </w:r>
          </w:p>
          <w:p w14:paraId="495E3B6A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16、12度荧光斜角设计，减少杂光，降低背景，提高信噪比</w:t>
            </w:r>
          </w:p>
          <w:p w14:paraId="50AC3C94">
            <w:pPr>
              <w:pStyle w:val="2"/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17、软件：标配数据分析软件可自动进行数据的运算及存储；可完成图表曲线制作，并可完成坐标轴的自由定义和转换，≥20种曲线拟合方式（包含4参数拟合、5参数拟合、平行线分析等）；完成自编公式和程序的存储及运行；仪器的各种功能均可通过计算机控制完成；数据导出格式：excel、TXT和XML23. </w:t>
            </w:r>
          </w:p>
          <w:p w14:paraId="6C904267">
            <w:pPr>
              <w:pStyle w:val="2"/>
              <w:spacing w:line="276" w:lineRule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18、免费质保期不少于1年，保修期从验收合格完毕之日起计算。合同生效后2个月内完成安装调试。产品在保修期内，在正常使用和维护的情况下，仪器本身机件材料及工艺出现问题，发生故障，可免费修理及更换。</w:t>
            </w:r>
          </w:p>
          <w:p w14:paraId="7A9CD03B">
            <w:pPr>
              <w:pStyle w:val="2"/>
              <w:spacing w:line="276" w:lineRule="auto"/>
              <w:rPr>
                <w:rFonts w:hint="eastAsia" w:ascii="宋体" w:hAnsi="宋体" w:eastAsia="宋体"/>
              </w:rPr>
            </w:pPr>
          </w:p>
          <w:p w14:paraId="6CED58CC">
            <w:pPr>
              <w:pStyle w:val="2"/>
              <w:spacing w:line="276" w:lineRule="auto"/>
              <w:rPr>
                <w:rFonts w:hint="eastAsia" w:ascii="宋体" w:hAnsi="宋体" w:eastAsia="宋体"/>
                <w:b/>
                <w:bCs w:val="0"/>
              </w:rPr>
            </w:pPr>
            <w:r>
              <w:rPr>
                <w:rFonts w:hint="eastAsia" w:ascii="宋体" w:hAnsi="宋体" w:eastAsia="宋体"/>
                <w:b/>
                <w:bCs w:val="0"/>
              </w:rPr>
              <w:t>本部门承诺，该参数无明显倾向性。</w:t>
            </w:r>
          </w:p>
          <w:p w14:paraId="68748391">
            <w:pPr>
              <w:pStyle w:val="2"/>
              <w:spacing w:line="276" w:lineRule="auto"/>
              <w:rPr>
                <w:rFonts w:hint="eastAsia"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签字（盖章）：</w:t>
            </w:r>
            <w:r>
              <w:rPr>
                <w:rFonts w:hint="eastAsia" w:ascii="宋体" w:hAnsi="宋体" w:eastAsia="宋体"/>
                <w:u w:val="single"/>
              </w:rPr>
              <w:t xml:space="preserve">           </w:t>
            </w:r>
          </w:p>
        </w:tc>
      </w:tr>
    </w:tbl>
    <w:p w14:paraId="6063DB65">
      <w:pPr>
        <w:ind w:left="242" w:leftChars="-1" w:hanging="244" w:hangingChars="136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94E4F"/>
    <w:rsid w:val="000D21E3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4F3B22"/>
    <w:rsid w:val="00602C18"/>
    <w:rsid w:val="0068033E"/>
    <w:rsid w:val="00746EF2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2552E"/>
    <w:rsid w:val="00C65EBB"/>
    <w:rsid w:val="00CC005D"/>
    <w:rsid w:val="00D000B2"/>
    <w:rsid w:val="00D1460F"/>
    <w:rsid w:val="00D20235"/>
    <w:rsid w:val="00D210BB"/>
    <w:rsid w:val="00D224C8"/>
    <w:rsid w:val="00E60A04"/>
    <w:rsid w:val="00E9242E"/>
    <w:rsid w:val="00EE079C"/>
    <w:rsid w:val="00F06A8F"/>
    <w:rsid w:val="00F85F45"/>
    <w:rsid w:val="00FA011B"/>
    <w:rsid w:val="00FE03D0"/>
    <w:rsid w:val="00FE49C2"/>
    <w:rsid w:val="10F03C35"/>
    <w:rsid w:val="23EF0715"/>
    <w:rsid w:val="346D5E8F"/>
    <w:rsid w:val="36FB1B13"/>
    <w:rsid w:val="4D5910C0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989</Words>
  <Characters>1342</Characters>
  <Lines>10</Lines>
  <Paragraphs>2</Paragraphs>
  <TotalTime>132</TotalTime>
  <ScaleCrop>false</ScaleCrop>
  <LinksUpToDate>false</LinksUpToDate>
  <CharactersWithSpaces>1398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2024-11-15T07:33:47Z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A9C9F94A544542F9B3999105F08824BB_13</vt:lpwstr>
  </property>
</Properties>
</file>