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785D">
      <w:pPr>
        <w:jc w:val="center"/>
      </w:pPr>
      <w:r>
        <w:rPr>
          <w:rFonts w:hint="eastAsia"/>
        </w:rPr>
        <w:t>技术参数要求确认单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93"/>
        <w:gridCol w:w="1517"/>
        <w:gridCol w:w="1701"/>
        <w:gridCol w:w="2205"/>
      </w:tblGrid>
      <w:tr w14:paraId="244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296" w:type="dxa"/>
            <w:gridSpan w:val="5"/>
            <w:vAlign w:val="center"/>
          </w:tcPr>
          <w:p w14:paraId="345E64A4">
            <w:r>
              <w:rPr>
                <w:rFonts w:hint="eastAsia"/>
              </w:rPr>
              <w:t>项目名称：“双一流”学科队伍模块建设</w:t>
            </w:r>
          </w:p>
        </w:tc>
      </w:tr>
      <w:tr w14:paraId="4D32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vAlign w:val="center"/>
          </w:tcPr>
          <w:p w14:paraId="6C6FDE99">
            <w:r>
              <w:rPr>
                <w:rFonts w:hint="eastAsia"/>
              </w:rPr>
              <w:t>联系人</w:t>
            </w:r>
          </w:p>
        </w:tc>
        <w:tc>
          <w:tcPr>
            <w:tcW w:w="2410" w:type="dxa"/>
            <w:gridSpan w:val="2"/>
            <w:vAlign w:val="center"/>
          </w:tcPr>
          <w:p w14:paraId="1ABB7DE8">
            <w:r>
              <w:rPr>
                <w:rFonts w:cs="Times New Roman"/>
              </w:rPr>
              <w:t>陈军</w:t>
            </w:r>
          </w:p>
        </w:tc>
        <w:tc>
          <w:tcPr>
            <w:tcW w:w="1701" w:type="dxa"/>
            <w:vAlign w:val="center"/>
          </w:tcPr>
          <w:p w14:paraId="25D9FD88">
            <w:r>
              <w:rPr>
                <w:rFonts w:hint="eastAsia"/>
              </w:rPr>
              <w:t>联系电话</w:t>
            </w:r>
          </w:p>
        </w:tc>
        <w:tc>
          <w:tcPr>
            <w:tcW w:w="2205" w:type="dxa"/>
            <w:vAlign w:val="center"/>
          </w:tcPr>
          <w:p w14:paraId="36E0127D">
            <w:pPr>
              <w:rPr>
                <w:rFonts w:hint="eastAsia" w:eastAsia="宋体"/>
                <w:lang w:eastAsia="zh-CN"/>
              </w:rPr>
            </w:pPr>
            <w:r>
              <w:rPr>
                <w:rFonts w:hint="eastAsia"/>
              </w:rPr>
              <w:t>025-</w:t>
            </w:r>
            <w:r>
              <w:rPr>
                <w:rFonts w:cs="Times New Roman"/>
              </w:rPr>
              <w:t>8581145</w:t>
            </w:r>
            <w:r>
              <w:rPr>
                <w:rFonts w:hint="eastAsia" w:cs="Times New Roman"/>
                <w:lang w:val="en-US" w:eastAsia="zh-CN"/>
              </w:rPr>
              <w:t>3</w:t>
            </w:r>
          </w:p>
        </w:tc>
      </w:tr>
      <w:tr w14:paraId="085F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73" w:type="dxa"/>
            <w:gridSpan w:val="2"/>
            <w:vAlign w:val="center"/>
          </w:tcPr>
          <w:p w14:paraId="15647D41">
            <w:r>
              <w:rPr>
                <w:rFonts w:hint="eastAsia"/>
              </w:rPr>
              <w:t>项目</w:t>
            </w:r>
            <w:r>
              <w:t>预算</w:t>
            </w:r>
          </w:p>
        </w:tc>
        <w:tc>
          <w:tcPr>
            <w:tcW w:w="5423" w:type="dxa"/>
            <w:gridSpan w:val="3"/>
            <w:vAlign w:val="center"/>
          </w:tcPr>
          <w:p w14:paraId="4B25E8C6">
            <w:pPr>
              <w:rPr>
                <w:rFonts w:hint="eastAsia"/>
              </w:rPr>
            </w:pPr>
            <w:r>
              <w:rPr>
                <w:rFonts w:hint="eastAsia"/>
              </w:rPr>
              <w:t>160000元</w:t>
            </w:r>
          </w:p>
        </w:tc>
      </w:tr>
      <w:tr w14:paraId="3BA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296" w:type="dxa"/>
            <w:gridSpan w:val="5"/>
            <w:vAlign w:val="center"/>
          </w:tcPr>
          <w:p w14:paraId="678B9C52">
            <w:pPr>
              <w:rPr>
                <w:b w:val="0"/>
                <w:bCs w:val="0"/>
              </w:rPr>
            </w:pPr>
            <w:r>
              <w:rPr>
                <w:rFonts w:hint="eastAsia"/>
                <w:b w:val="0"/>
                <w:bCs w:val="0"/>
              </w:rPr>
              <w:t>主要用途描述：</w:t>
            </w:r>
          </w:p>
          <w:p w14:paraId="60A1D680">
            <w:pPr>
              <w:spacing w:line="360" w:lineRule="auto"/>
              <w:ind w:firstLine="525" w:firstLineChars="250"/>
            </w:pPr>
            <w:r>
              <w:rPr>
                <w:rFonts w:hint="eastAsia"/>
                <w:b w:val="0"/>
              </w:rPr>
              <w:t>为进一步推进学科师资队伍建设情况，实时掌握学科师资，尤其是博士生导师队伍建设情况，充分发挥师资队伍在学科建设中的作用，迎接“双一流”学科、江苏高水平大学高峰计划项目验收及教育部第六轮学科评估，申请开展学科队伍模块建设，设置成果填报、数据整理、信息查询、个人风采展示、Scopus数据库个人画像呈现等功能。学科教师填报的成果将与研究生导师资格遴选挂钩。教师填报内容可生成个人简介，展示在“学科建设处网站”。该功能的实现，目标是既可以收集导师、特别是校外导师的研究成果，支撑学科建设，又便于学校统筹资源，在学科验收、学科评估中合理配置相关成果，达到效益最大化，保障两项验收和学科评估的成绩。</w:t>
            </w:r>
          </w:p>
        </w:tc>
      </w:tr>
      <w:tr w14:paraId="5D59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gridSpan w:val="5"/>
          </w:tcPr>
          <w:p w14:paraId="3E7F80CC">
            <w:r>
              <w:rPr>
                <w:rFonts w:hint="eastAsia"/>
              </w:rPr>
              <w:t>参数要求：</w:t>
            </w:r>
          </w:p>
          <w:p w14:paraId="368F211E">
            <w:r>
              <w:rPr>
                <w:rFonts w:hint="eastAsia"/>
              </w:rPr>
              <w:t>一、硬件配置参数</w:t>
            </w:r>
          </w:p>
          <w:p w14:paraId="1A72DA53">
            <w:pPr>
              <w:rPr>
                <w:rFonts w:hint="eastAsia" w:cs="Times New Roman"/>
                <w:b w:val="0"/>
                <w:bCs w:val="0"/>
              </w:rPr>
            </w:pPr>
            <w:r>
              <w:rPr>
                <w:rFonts w:hint="eastAsia" w:cs="Times New Roman"/>
                <w:b w:val="0"/>
                <w:bCs w:val="0"/>
              </w:rPr>
              <w:t>无</w:t>
            </w:r>
          </w:p>
          <w:p w14:paraId="553B4810">
            <w:r>
              <w:rPr>
                <w:rFonts w:hint="eastAsia"/>
              </w:rPr>
              <w:t>二、软件配置参数</w:t>
            </w:r>
          </w:p>
          <w:p w14:paraId="450CBAA6">
            <w:pPr>
              <w:pStyle w:val="12"/>
              <w:widowControl/>
              <w:ind w:firstLine="428"/>
              <w:rPr>
                <w:rFonts w:hint="eastAsia" w:ascii="宋体" w:hAnsi="宋体" w:eastAsia="宋体"/>
                <w:b/>
                <w:kern w:val="2"/>
                <w:sz w:val="21"/>
                <w:szCs w:val="21"/>
              </w:rPr>
            </w:pPr>
            <w:r>
              <w:rPr>
                <w:rFonts w:hint="eastAsia" w:ascii="宋体" w:hAnsi="宋体" w:eastAsia="宋体"/>
                <w:b/>
                <w:kern w:val="2"/>
                <w:sz w:val="21"/>
                <w:szCs w:val="21"/>
              </w:rPr>
              <w:t>1</w:t>
            </w:r>
            <w:r>
              <w:rPr>
                <w:rFonts w:hint="eastAsia" w:ascii="宋体" w:hAnsi="宋体" w:eastAsia="宋体"/>
                <w:b/>
                <w:kern w:val="2"/>
                <w:sz w:val="21"/>
                <w:szCs w:val="21"/>
                <w:lang w:val="en-US" w:eastAsia="zh-CN"/>
              </w:rPr>
              <w:t>.</w:t>
            </w:r>
            <w:r>
              <w:rPr>
                <w:rFonts w:hint="eastAsia" w:ascii="宋体" w:hAnsi="宋体" w:eastAsia="宋体"/>
                <w:b/>
                <w:kern w:val="2"/>
                <w:sz w:val="21"/>
                <w:szCs w:val="21"/>
              </w:rPr>
              <w:t>学科队伍填报表单设计</w:t>
            </w:r>
          </w:p>
          <w:p w14:paraId="14614D0C">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基于学校现有指标填报工具，完成学校学科队伍填报表单设计并配置流程。设计一套全面、易用且高效的在线填报表单，用于收集学科队伍的基本信息、工作经历、研究成果、获奖、社会任职、项目参与情况等关键数据。遵循用户友好原则，确保表单简洁明了，采用下拉菜单、多选框等便捷输入方式，减少手动输入负担，同时保证数据的安全性与隐私保护。</w:t>
            </w:r>
          </w:p>
          <w:p w14:paraId="73D5778F">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填报表单需要包含的字段如下：</w:t>
            </w:r>
          </w:p>
          <w:p w14:paraId="5F589D9C">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1）基本信息模块：包括姓名、性别、年龄、学历、职称、联系方式等。</w:t>
            </w:r>
          </w:p>
          <w:p w14:paraId="65A362D4">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2）学术成就模块：论文发表、著作出版、专利获取、科研项目主持或参与情况等。</w:t>
            </w:r>
          </w:p>
          <w:p w14:paraId="48135434">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3）工作经历模块：工作历程及职称变化情况。</w:t>
            </w:r>
          </w:p>
          <w:p w14:paraId="28922C07">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4）社会任职模块：导师的社会任职情况。</w:t>
            </w:r>
          </w:p>
          <w:p w14:paraId="0AAFD9EB">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5）其他模块：根据各学科的特殊需求，可以新增填写指标内容，如特定研究方向、实验室资源等。</w:t>
            </w:r>
          </w:p>
          <w:p w14:paraId="1747C9E4">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填报表单需要满足以下要求：</w:t>
            </w:r>
          </w:p>
          <w:p w14:paraId="3818E82D">
            <w:pPr>
              <w:pStyle w:val="12"/>
              <w:widowControl/>
              <w:ind w:firstLine="420"/>
              <w:rPr>
                <w:rFonts w:ascii="宋体" w:hAnsi="宋体" w:eastAsia="宋体"/>
                <w:bCs/>
                <w:kern w:val="2"/>
                <w:sz w:val="21"/>
                <w:szCs w:val="21"/>
              </w:rPr>
            </w:pPr>
            <w:r>
              <w:rPr>
                <w:rFonts w:hint="eastAsia" w:ascii="宋体" w:hAnsi="宋体" w:eastAsia="宋体"/>
                <w:bCs/>
                <w:kern w:val="2"/>
                <w:sz w:val="21"/>
                <w:szCs w:val="21"/>
              </w:rPr>
              <w:t>1）▲支持通过在线填写、Excel表格复制粘贴、下载模板后填写导入等方式进行数据填报。</w:t>
            </w:r>
          </w:p>
          <w:p w14:paraId="2E8FD09A">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2）填报周期支持仅填报一次，也可以重复填报。</w:t>
            </w:r>
          </w:p>
          <w:p w14:paraId="5E427E02">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3）填报人员需面向博士生导师，包含校内导师、校外人员。</w:t>
            </w:r>
          </w:p>
          <w:p w14:paraId="37E8F94E">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填报表单流程设计满足以下要求：</w:t>
            </w:r>
          </w:p>
          <w:p w14:paraId="7FB0F25C">
            <w:pPr>
              <w:pStyle w:val="12"/>
              <w:widowControl/>
              <w:ind w:firstLine="420"/>
              <w:rPr>
                <w:rFonts w:ascii="宋体" w:hAnsi="宋体" w:eastAsia="宋体"/>
                <w:bCs/>
                <w:kern w:val="2"/>
                <w:sz w:val="21"/>
                <w:szCs w:val="21"/>
              </w:rPr>
            </w:pPr>
            <w:r>
              <w:rPr>
                <w:rFonts w:hint="eastAsia" w:ascii="宋体" w:hAnsi="宋体" w:eastAsia="宋体"/>
                <w:bCs/>
                <w:kern w:val="2"/>
                <w:sz w:val="21"/>
                <w:szCs w:val="21"/>
              </w:rPr>
              <w:t>1）自定义添加审核节点，并配置填报审核流程，由学科建设处进行数据审核。</w:t>
            </w:r>
          </w:p>
          <w:p w14:paraId="424EA922">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2）▲支持同一节点上自定义设置审核动作（通过、驳回、同意、不同意等）和审核方式（多人会签、或签），且一人能够位于多个审核节点。</w:t>
            </w:r>
          </w:p>
          <w:p w14:paraId="5EBB64FA">
            <w:pPr>
              <w:pStyle w:val="12"/>
              <w:widowControl/>
              <w:ind w:firstLine="420"/>
              <w:rPr>
                <w:rFonts w:ascii="宋体" w:hAnsi="宋体" w:eastAsia="宋体"/>
                <w:bCs/>
                <w:kern w:val="2"/>
                <w:sz w:val="21"/>
                <w:szCs w:val="21"/>
              </w:rPr>
            </w:pPr>
            <w:r>
              <w:rPr>
                <w:rFonts w:hint="eastAsia" w:ascii="宋体" w:hAnsi="宋体" w:eastAsia="宋体"/>
                <w:bCs/>
                <w:kern w:val="2"/>
                <w:sz w:val="21"/>
                <w:szCs w:val="21"/>
              </w:rPr>
              <w:t>3）支持配置审核人员是否可以修改编辑已填报的内容。</w:t>
            </w:r>
          </w:p>
          <w:p w14:paraId="561DACAD">
            <w:pPr>
              <w:pStyle w:val="12"/>
              <w:widowControl/>
              <w:ind w:firstLine="428"/>
              <w:rPr>
                <w:rFonts w:hint="eastAsia" w:ascii="宋体" w:hAnsi="宋体" w:eastAsia="宋体"/>
                <w:b/>
                <w:kern w:val="2"/>
                <w:sz w:val="21"/>
                <w:szCs w:val="21"/>
              </w:rPr>
            </w:pPr>
            <w:r>
              <w:rPr>
                <w:rFonts w:hint="eastAsia" w:ascii="宋体" w:hAnsi="宋体" w:eastAsia="宋体"/>
                <w:b/>
                <w:kern w:val="2"/>
                <w:sz w:val="21"/>
                <w:szCs w:val="21"/>
              </w:rPr>
              <w:t>2</w:t>
            </w:r>
            <w:r>
              <w:rPr>
                <w:rFonts w:hint="eastAsia" w:ascii="宋体" w:hAnsi="宋体" w:eastAsia="宋体"/>
                <w:b/>
                <w:kern w:val="2"/>
                <w:sz w:val="21"/>
                <w:szCs w:val="21"/>
                <w:lang w:val="en-US" w:eastAsia="zh-CN"/>
              </w:rPr>
              <w:t>.</w:t>
            </w:r>
            <w:r>
              <w:rPr>
                <w:rFonts w:hint="eastAsia" w:ascii="宋体" w:hAnsi="宋体" w:eastAsia="宋体"/>
                <w:b/>
                <w:kern w:val="2"/>
                <w:sz w:val="21"/>
                <w:szCs w:val="21"/>
              </w:rPr>
              <w:t>数据对接</w:t>
            </w:r>
          </w:p>
          <w:p w14:paraId="4B764B3A">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需实现表单与数据中台数据的无缝对接，能够自动获取中台已有学科队伍数据。根据各系统数据字段的差异，建立数据映射关系，实现数据的自动转换与匹配。设置定期自动同步机制，检查数据一致性，及时同步更新，避免信息孤岛现象。提供详细的对接方案及现有中台的数据集成操作方法。</w:t>
            </w:r>
          </w:p>
          <w:p w14:paraId="1430DCDF">
            <w:pPr>
              <w:pStyle w:val="12"/>
              <w:widowControl/>
              <w:ind w:firstLine="428"/>
              <w:rPr>
                <w:rFonts w:ascii="宋体" w:hAnsi="宋体" w:eastAsia="宋体"/>
                <w:b/>
                <w:kern w:val="2"/>
                <w:sz w:val="21"/>
                <w:szCs w:val="21"/>
              </w:rPr>
            </w:pPr>
            <w:r>
              <w:rPr>
                <w:rFonts w:hint="eastAsia" w:ascii="宋体" w:hAnsi="宋体" w:eastAsia="宋体"/>
                <w:b/>
                <w:kern w:val="2"/>
                <w:sz w:val="21"/>
                <w:szCs w:val="21"/>
              </w:rPr>
              <w:t>3</w:t>
            </w:r>
            <w:r>
              <w:rPr>
                <w:rFonts w:hint="eastAsia" w:ascii="宋体" w:hAnsi="宋体" w:eastAsia="宋体"/>
                <w:b/>
                <w:kern w:val="2"/>
                <w:sz w:val="21"/>
                <w:szCs w:val="21"/>
                <w:lang w:val="en-US" w:eastAsia="zh-CN"/>
              </w:rPr>
              <w:t>.</w:t>
            </w:r>
            <w:r>
              <w:rPr>
                <w:rFonts w:hint="eastAsia" w:ascii="宋体" w:hAnsi="宋体" w:eastAsia="宋体"/>
                <w:b/>
                <w:kern w:val="2"/>
                <w:sz w:val="21"/>
                <w:szCs w:val="21"/>
              </w:rPr>
              <w:t>学科队伍展示平台功能</w:t>
            </w:r>
          </w:p>
          <w:p w14:paraId="31960099">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构建一个集信息查询、队伍展示于一体的在线平台，为学科队伍提供全方位的展示窗口，增强团队凝聚力与对外影响力。学科队伍展示平台需至少包含以下模块：</w:t>
            </w:r>
          </w:p>
          <w:p w14:paraId="62A1C027">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▲人才团队概览：按照中药学、中医学、中西医结合、护理学和药学不同的学科类别展示博士生导师的人才队伍情况，以卡片形式展示学科队伍的整体结构、人才队伍简介等。</w:t>
            </w:r>
          </w:p>
          <w:p w14:paraId="72557873">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不同学科分布：可按学科名称进行切换，查看不同学科下的人才队伍分布情况。</w:t>
            </w:r>
          </w:p>
          <w:p w14:paraId="53FABD47">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人才精准查询：支持根据人才队伍的名字关键词进行检索，点击卡片可跳转至导师个人主页。</w:t>
            </w:r>
          </w:p>
          <w:p w14:paraId="553C1D0A">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个人主页详情：每位成员拥有专属页面，展示个人信息（含个人基本信息、头像等）、个人简介、学术组织及期刊兼职、在研项目、科研获奖、代表性论著、社会服务等。</w:t>
            </w:r>
          </w:p>
          <w:p w14:paraId="7E32F713">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动态资讯同步：团队最新研究成果、学术会议、项目进展等动态信息，数据实时同步人才队伍页面。</w:t>
            </w:r>
          </w:p>
          <w:p w14:paraId="043D8A11">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学科队伍看板：根据学科填报数据，对学校重点建设学科人才队伍的相关指标进行数据统计、分析，支持通过低代码工具进行灵活快速的搭建。系统需内置丰富的可视化图表，包括柱状图、条形图、柱线图、折线图、面积图、饼图、环形图、数值环形图、玫瑰图、圆环玫瑰图、雷达图、漏斗图、气泡图、散点图、极坐标、热力图、</w:t>
            </w:r>
            <w:bookmarkStart w:id="0" w:name="OLE_LINK2"/>
            <w:r>
              <w:rPr>
                <w:rFonts w:hint="eastAsia" w:ascii="宋体" w:hAnsi="宋体" w:eastAsia="宋体"/>
                <w:bCs/>
                <w:kern w:val="2"/>
                <w:sz w:val="21"/>
                <w:szCs w:val="21"/>
              </w:rPr>
              <w:t>top排行</w:t>
            </w:r>
            <w:bookmarkEnd w:id="0"/>
            <w:r>
              <w:rPr>
                <w:rFonts w:hint="eastAsia" w:ascii="宋体" w:hAnsi="宋体" w:eastAsia="宋体"/>
                <w:bCs/>
                <w:kern w:val="2"/>
                <w:sz w:val="21"/>
                <w:szCs w:val="21"/>
              </w:rPr>
              <w:t>、对比进度条等相关图表组件，满足搭建学科队伍看板的要求。</w:t>
            </w:r>
          </w:p>
          <w:p w14:paraId="47E672E3">
            <w:pPr>
              <w:pStyle w:val="12"/>
              <w:widowControl/>
              <w:numPr>
                <w:ilvl w:val="0"/>
                <w:numId w:val="1"/>
              </w:numPr>
              <w:ind w:firstLine="420"/>
              <w:rPr>
                <w:rFonts w:hint="eastAsia" w:ascii="宋体" w:hAnsi="宋体" w:eastAsia="宋体"/>
                <w:bCs/>
                <w:kern w:val="2"/>
                <w:sz w:val="21"/>
                <w:szCs w:val="21"/>
              </w:rPr>
            </w:pPr>
            <w:r>
              <w:rPr>
                <w:rFonts w:hint="eastAsia" w:ascii="宋体" w:hAnsi="宋体" w:eastAsia="宋体"/>
                <w:bCs/>
                <w:kern w:val="2"/>
                <w:sz w:val="21"/>
                <w:szCs w:val="21"/>
              </w:rPr>
              <w:t>学科数据治理：学科队伍平台展示的个人信息，结构化数据来源于学科队伍填报表单的采集数据，需与低代码工具对接，实现个人填报数据的页面呈现；非结构化数据如个人头像等图片数据来源于数据中台，通过数据中台的非结构化数据采集、存储、治理、开放流程实现对低代码工具的开放授权，将非结构化数据推送至学科队伍页面进行展示。</w:t>
            </w:r>
          </w:p>
          <w:p w14:paraId="335E1779">
            <w:pPr>
              <w:pStyle w:val="12"/>
              <w:widowControl/>
              <w:numPr>
                <w:ilvl w:val="0"/>
                <w:numId w:val="1"/>
              </w:numPr>
              <w:ind w:firstLine="420"/>
              <w:rPr>
                <w:rFonts w:ascii="宋体" w:hAnsi="宋体" w:eastAsia="宋体"/>
                <w:bCs/>
                <w:kern w:val="2"/>
                <w:sz w:val="21"/>
                <w:szCs w:val="21"/>
              </w:rPr>
            </w:pPr>
            <w:r>
              <w:rPr>
                <w:rFonts w:hint="eastAsia" w:ascii="宋体" w:hAnsi="宋体" w:eastAsia="宋体"/>
                <w:bCs/>
                <w:kern w:val="2"/>
                <w:sz w:val="21"/>
                <w:szCs w:val="21"/>
              </w:rPr>
              <w:t>学科队伍访问：展示平台涉及校外人员进行查看的情况需支持免登录查看，平台建设完成后支持由学校官网进行跳转（免登录）。</w:t>
            </w:r>
          </w:p>
          <w:p w14:paraId="7D9383AC">
            <w:r>
              <w:rPr>
                <w:rFonts w:hint="eastAsia"/>
              </w:rPr>
              <w:t>三、</w:t>
            </w:r>
            <w:r>
              <w:t>服务</w:t>
            </w:r>
            <w:r>
              <w:rPr>
                <w:rFonts w:hint="eastAsia"/>
              </w:rPr>
              <w:t>要求</w:t>
            </w:r>
          </w:p>
          <w:p w14:paraId="6ABAD8BB">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1</w:t>
            </w:r>
            <w:r>
              <w:rPr>
                <w:rFonts w:hint="eastAsia" w:ascii="宋体" w:hAnsi="宋体" w:eastAsia="宋体"/>
                <w:bCs/>
                <w:kern w:val="2"/>
                <w:sz w:val="21"/>
                <w:szCs w:val="21"/>
                <w:lang w:val="en-US" w:eastAsia="zh-CN"/>
              </w:rPr>
              <w:t>.</w:t>
            </w:r>
            <w:r>
              <w:rPr>
                <w:rFonts w:hint="eastAsia" w:ascii="宋体" w:hAnsi="宋体" w:eastAsia="宋体"/>
                <w:bCs/>
                <w:kern w:val="2"/>
                <w:sz w:val="21"/>
                <w:szCs w:val="21"/>
              </w:rPr>
              <w:t>投标方需完成对学科建设处老师进行表格内容定制化展示，确保其基本属性满足需求，并调研双一流具体表格内容，梳理为</w:t>
            </w:r>
            <w:bookmarkStart w:id="1" w:name="OLE_LINK9"/>
            <w:r>
              <w:rPr>
                <w:rFonts w:hint="eastAsia" w:ascii="宋体" w:hAnsi="宋体" w:eastAsia="宋体"/>
                <w:bCs/>
                <w:kern w:val="2"/>
                <w:sz w:val="21"/>
                <w:szCs w:val="21"/>
              </w:rPr>
              <w:t>Excel并进行内容核</w:t>
            </w:r>
            <w:bookmarkEnd w:id="1"/>
            <w:r>
              <w:rPr>
                <w:rFonts w:hint="eastAsia" w:ascii="宋体" w:hAnsi="宋体" w:eastAsia="宋体"/>
                <w:bCs/>
                <w:kern w:val="2"/>
                <w:sz w:val="21"/>
                <w:szCs w:val="21"/>
              </w:rPr>
              <w:t>对，系统中构建对应表格。</w:t>
            </w:r>
          </w:p>
          <w:p w14:paraId="1D197765">
            <w:pPr>
              <w:pStyle w:val="12"/>
              <w:widowControl/>
              <w:ind w:firstLine="420"/>
              <w:rPr>
                <w:rFonts w:hint="eastAsia" w:ascii="宋体" w:hAnsi="宋体" w:eastAsia="宋体"/>
                <w:bCs/>
                <w:kern w:val="2"/>
                <w:sz w:val="21"/>
                <w:szCs w:val="21"/>
              </w:rPr>
            </w:pPr>
            <w:r>
              <w:rPr>
                <w:rFonts w:hint="eastAsia" w:ascii="宋体" w:hAnsi="宋体" w:eastAsia="宋体"/>
                <w:bCs/>
                <w:kern w:val="2"/>
                <w:sz w:val="21"/>
                <w:szCs w:val="21"/>
              </w:rPr>
              <w:t>2</w:t>
            </w:r>
            <w:r>
              <w:rPr>
                <w:rFonts w:hint="eastAsia" w:ascii="宋体" w:hAnsi="宋体" w:eastAsia="宋体"/>
                <w:bCs/>
                <w:kern w:val="2"/>
                <w:sz w:val="21"/>
                <w:szCs w:val="21"/>
                <w:lang w:val="en-US" w:eastAsia="zh-CN"/>
              </w:rPr>
              <w:t>.</w:t>
            </w:r>
            <w:r>
              <w:rPr>
                <w:rFonts w:hint="eastAsia" w:ascii="宋体" w:hAnsi="宋体" w:eastAsia="宋体"/>
                <w:bCs/>
                <w:kern w:val="2"/>
                <w:sz w:val="21"/>
                <w:szCs w:val="21"/>
              </w:rPr>
              <w:t>项目期间，投标方需根据学校提供的双一流学科队伍模块数据填报需求，</w:t>
            </w:r>
            <w:bookmarkStart w:id="2" w:name="OLE_LINK39"/>
            <w:r>
              <w:rPr>
                <w:rFonts w:hint="eastAsia" w:ascii="宋体" w:hAnsi="宋体" w:eastAsia="宋体"/>
                <w:bCs/>
                <w:kern w:val="2"/>
                <w:sz w:val="21"/>
                <w:szCs w:val="21"/>
              </w:rPr>
              <w:t>调整和完善指标任务，具备配置指标填报系统内填报任务及其填报表格的能力</w:t>
            </w:r>
            <w:bookmarkEnd w:id="2"/>
            <w:r>
              <w:rPr>
                <w:rFonts w:hint="eastAsia" w:ascii="宋体" w:hAnsi="宋体" w:eastAsia="宋体"/>
                <w:bCs/>
                <w:kern w:val="2"/>
                <w:sz w:val="21"/>
                <w:szCs w:val="21"/>
              </w:rPr>
              <w:t>。</w:t>
            </w:r>
          </w:p>
          <w:p w14:paraId="03B4BFD8">
            <w:pPr>
              <w:pStyle w:val="12"/>
              <w:widowControl/>
              <w:ind w:firstLine="420"/>
              <w:rPr>
                <w:rFonts w:ascii="宋体" w:hAnsi="宋体" w:eastAsia="宋体"/>
                <w:bCs/>
                <w:kern w:val="2"/>
                <w:sz w:val="21"/>
                <w:szCs w:val="21"/>
              </w:rPr>
            </w:pPr>
            <w:r>
              <w:rPr>
                <w:rFonts w:hint="eastAsia" w:ascii="宋体" w:hAnsi="宋体" w:eastAsia="宋体"/>
                <w:bCs/>
                <w:kern w:val="2"/>
                <w:sz w:val="21"/>
                <w:szCs w:val="21"/>
              </w:rPr>
              <w:t>3</w:t>
            </w:r>
            <w:r>
              <w:rPr>
                <w:rFonts w:hint="eastAsia" w:ascii="宋体" w:hAnsi="宋体" w:eastAsia="宋体"/>
                <w:bCs/>
                <w:kern w:val="2"/>
                <w:sz w:val="21"/>
                <w:szCs w:val="21"/>
                <w:lang w:val="en-US" w:eastAsia="zh-CN"/>
              </w:rPr>
              <w:t>.</w:t>
            </w:r>
            <w:r>
              <w:rPr>
                <w:rFonts w:hint="eastAsia" w:ascii="宋体" w:hAnsi="宋体" w:eastAsia="宋体"/>
                <w:bCs/>
                <w:kern w:val="2"/>
                <w:sz w:val="21"/>
                <w:szCs w:val="21"/>
              </w:rPr>
              <w:t>投标方需</w:t>
            </w:r>
            <w:bookmarkStart w:id="3" w:name="OLE_LINK33"/>
            <w:r>
              <w:rPr>
                <w:rFonts w:hint="eastAsia" w:ascii="宋体" w:hAnsi="宋体" w:eastAsia="宋体"/>
                <w:bCs/>
                <w:kern w:val="2"/>
                <w:sz w:val="21"/>
                <w:szCs w:val="21"/>
              </w:rPr>
              <w:t>根据学科处学科队伍建设要求，配置学科队伍展示平台。包含人才团队概览、个人主页详情、动态资讯同步、学科队伍看板、学科数据治理和学科队伍访问模块。</w:t>
            </w:r>
            <w:bookmarkEnd w:id="3"/>
          </w:p>
          <w:p w14:paraId="6AF35A69">
            <w:r>
              <w:rPr>
                <w:rFonts w:hint="eastAsia"/>
              </w:rPr>
              <w:t>四、其他要求</w:t>
            </w:r>
          </w:p>
          <w:p w14:paraId="767B2028">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1</w:t>
            </w:r>
            <w:r>
              <w:rPr>
                <w:rFonts w:hint="eastAsia" w:ascii="宋体" w:hAnsi="宋体"/>
                <w:b/>
                <w:bCs/>
                <w:sz w:val="21"/>
                <w:szCs w:val="21"/>
                <w:lang w:val="en-US" w:eastAsia="zh-CN"/>
              </w:rPr>
              <w:t>.</w:t>
            </w:r>
            <w:r>
              <w:rPr>
                <w:rFonts w:ascii="宋体" w:hAnsi="宋体"/>
                <w:b/>
                <w:bCs/>
                <w:sz w:val="21"/>
                <w:szCs w:val="21"/>
              </w:rPr>
              <w:t>实施周期要求</w:t>
            </w:r>
          </w:p>
          <w:p w14:paraId="6C8D857B">
            <w:pPr>
              <w:pStyle w:val="2"/>
              <w:spacing w:after="0" w:line="360" w:lineRule="auto"/>
              <w:ind w:left="0" w:leftChars="0" w:rightChars="0" w:firstLine="420" w:firstLineChars="200"/>
              <w:rPr>
                <w:rFonts w:hint="default" w:ascii="宋体" w:hAnsi="宋体"/>
                <w:sz w:val="21"/>
                <w:szCs w:val="21"/>
              </w:rPr>
            </w:pPr>
            <w:r>
              <w:rPr>
                <w:rFonts w:ascii="宋体" w:hAnsi="宋体"/>
                <w:sz w:val="21"/>
                <w:szCs w:val="21"/>
              </w:rPr>
              <w:t>项目实施周期要求</w:t>
            </w:r>
            <w:r>
              <w:rPr>
                <w:rFonts w:hint="eastAsia" w:ascii="宋体" w:hAnsi="宋体"/>
                <w:sz w:val="21"/>
                <w:szCs w:val="21"/>
                <w:lang w:val="en-US" w:eastAsia="zh-CN"/>
              </w:rPr>
              <w:t>6</w:t>
            </w:r>
            <w:r>
              <w:rPr>
                <w:rFonts w:ascii="宋体" w:hAnsi="宋体"/>
                <w:sz w:val="21"/>
                <w:szCs w:val="21"/>
              </w:rPr>
              <w:t>0日内完成，系统应进入全面试运行。</w:t>
            </w:r>
          </w:p>
          <w:p w14:paraId="0C46AFB4">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2</w:t>
            </w:r>
            <w:r>
              <w:rPr>
                <w:rFonts w:hint="eastAsia" w:ascii="宋体" w:hAnsi="宋体"/>
                <w:b/>
                <w:bCs/>
                <w:sz w:val="21"/>
                <w:szCs w:val="21"/>
                <w:lang w:val="en-US" w:eastAsia="zh-CN"/>
              </w:rPr>
              <w:t>.</w:t>
            </w:r>
            <w:r>
              <w:rPr>
                <w:rFonts w:ascii="宋体" w:hAnsi="宋体"/>
                <w:b/>
                <w:bCs/>
                <w:sz w:val="21"/>
                <w:szCs w:val="21"/>
              </w:rPr>
              <w:t>实施人员要求</w:t>
            </w:r>
          </w:p>
          <w:p w14:paraId="0ECF5526">
            <w:pPr>
              <w:pStyle w:val="2"/>
              <w:spacing w:after="0" w:line="360" w:lineRule="auto"/>
              <w:ind w:left="0" w:leftChars="0" w:rightChars="0" w:firstLine="420" w:firstLineChars="200"/>
              <w:rPr>
                <w:rFonts w:ascii="宋体" w:hAnsi="宋体"/>
                <w:sz w:val="21"/>
                <w:szCs w:val="21"/>
              </w:rPr>
            </w:pPr>
            <w:r>
              <w:rPr>
                <w:sz w:val="21"/>
                <w:szCs w:val="21"/>
              </w:rPr>
              <w:t>▲投标人实施</w:t>
            </w:r>
            <w:r>
              <w:rPr>
                <w:rFonts w:ascii="宋体" w:hAnsi="宋体"/>
                <w:sz w:val="21"/>
                <w:szCs w:val="21"/>
              </w:rPr>
              <w:t>期间安排至少1名熟悉高校数据建设业务的技术人员每周至少两天的驻场实施，保障项目的实施过程的顺利推进。驻场人员的人选须经校方认可，未经校方许可，成交方不得擅自更换驻场人员，直至完成验收。</w:t>
            </w:r>
          </w:p>
          <w:p w14:paraId="43025498">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3</w:t>
            </w:r>
            <w:r>
              <w:rPr>
                <w:rFonts w:hint="eastAsia" w:ascii="宋体" w:hAnsi="宋体"/>
                <w:b/>
                <w:bCs/>
                <w:sz w:val="21"/>
                <w:szCs w:val="21"/>
                <w:lang w:val="en-US" w:eastAsia="zh-CN"/>
              </w:rPr>
              <w:t>.</w:t>
            </w:r>
            <w:r>
              <w:rPr>
                <w:rFonts w:ascii="宋体" w:hAnsi="宋体"/>
                <w:b/>
                <w:bCs/>
                <w:sz w:val="21"/>
                <w:szCs w:val="21"/>
              </w:rPr>
              <w:t>实施管理要求</w:t>
            </w:r>
          </w:p>
          <w:p w14:paraId="4B741120">
            <w:pPr>
              <w:spacing w:line="360" w:lineRule="auto"/>
              <w:ind w:firstLine="420" w:firstLineChars="200"/>
              <w:rPr>
                <w:rFonts w:hint="eastAsia"/>
                <w:b w:val="0"/>
                <w:bCs w:val="0"/>
              </w:rPr>
            </w:pPr>
            <w:r>
              <w:rPr>
                <w:rFonts w:hint="eastAsia"/>
                <w:b w:val="0"/>
                <w:bCs w:val="0"/>
              </w:rPr>
              <w:t>投标人应针对本项目制定具有针对性和可操作性的实施方案。主要内容应包括以下几个层面</w:t>
            </w:r>
            <w:r>
              <w:rPr>
                <w:b w:val="0"/>
                <w:bCs w:val="0"/>
              </w:rPr>
              <w:t xml:space="preserve">: </w:t>
            </w:r>
          </w:p>
          <w:p w14:paraId="3EC1E486">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1）组织架构与职责 描述项目成员的组成，以及成员的职责。 </w:t>
            </w:r>
          </w:p>
          <w:p w14:paraId="2F68B1BC">
            <w:pPr>
              <w:pStyle w:val="2"/>
              <w:spacing w:after="0" w:line="360" w:lineRule="auto"/>
              <w:ind w:left="0" w:leftChars="0" w:rightChars="0" w:firstLine="420" w:firstLineChars="200"/>
              <w:rPr>
                <w:rFonts w:hint="default" w:ascii="宋体" w:hAnsi="宋体"/>
                <w:sz w:val="21"/>
                <w:szCs w:val="21"/>
              </w:rPr>
            </w:pPr>
            <w:r>
              <w:rPr>
                <w:rFonts w:ascii="宋体" w:hAnsi="宋体"/>
                <w:sz w:val="21"/>
                <w:szCs w:val="21"/>
              </w:rPr>
              <w:t>2）实施阶段划分描述各个实施阶段的工作范围、内容、人力投入、过程、责任、交付成果等。</w:t>
            </w:r>
          </w:p>
          <w:p w14:paraId="5E7756F5">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4</w:t>
            </w:r>
            <w:r>
              <w:rPr>
                <w:rFonts w:hint="eastAsia" w:ascii="宋体" w:hAnsi="宋体"/>
                <w:b/>
                <w:bCs/>
                <w:sz w:val="21"/>
                <w:szCs w:val="21"/>
                <w:lang w:val="en-US" w:eastAsia="zh-CN"/>
              </w:rPr>
              <w:t>.</w:t>
            </w:r>
            <w:r>
              <w:rPr>
                <w:rFonts w:ascii="宋体" w:hAnsi="宋体"/>
                <w:b/>
                <w:bCs/>
                <w:sz w:val="21"/>
                <w:szCs w:val="21"/>
              </w:rPr>
              <w:t>项目管理要求</w:t>
            </w:r>
          </w:p>
          <w:p w14:paraId="234FD0CB">
            <w:pPr>
              <w:pStyle w:val="2"/>
              <w:spacing w:after="0" w:line="360" w:lineRule="auto"/>
              <w:ind w:left="0" w:leftChars="0" w:rightChars="0" w:firstLine="420" w:firstLineChars="200"/>
              <w:rPr>
                <w:rFonts w:ascii="宋体" w:hAnsi="宋体"/>
                <w:sz w:val="21"/>
                <w:szCs w:val="21"/>
              </w:rPr>
            </w:pPr>
            <w:r>
              <w:rPr>
                <w:rFonts w:ascii="宋体" w:hAnsi="宋体"/>
                <w:sz w:val="21"/>
                <w:szCs w:val="21"/>
              </w:rPr>
              <w:t>1）项目管理</w:t>
            </w:r>
          </w:p>
          <w:p w14:paraId="4809C2C7">
            <w:pPr>
              <w:widowControl w:val="0"/>
              <w:numPr>
                <w:ilvl w:val="0"/>
                <w:numId w:val="2"/>
              </w:numPr>
              <w:spacing w:line="360" w:lineRule="auto"/>
              <w:rPr>
                <w:b w:val="0"/>
                <w:bCs w:val="0"/>
              </w:rPr>
            </w:pPr>
            <w:r>
              <w:rPr>
                <w:rFonts w:hint="eastAsia"/>
                <w:b w:val="0"/>
                <w:bCs w:val="0"/>
              </w:rPr>
              <w:t>组织架构与职责</w:t>
            </w:r>
            <w:r>
              <w:rPr>
                <w:b w:val="0"/>
                <w:bCs w:val="0"/>
              </w:rPr>
              <w:t xml:space="preserve"> </w:t>
            </w:r>
            <w:r>
              <w:rPr>
                <w:rFonts w:hint="eastAsia"/>
                <w:b w:val="0"/>
                <w:bCs w:val="0"/>
              </w:rPr>
              <w:t>描述项目成员的组成，以及成员的职责。</w:t>
            </w:r>
            <w:r>
              <w:rPr>
                <w:b w:val="0"/>
                <w:bCs w:val="0"/>
              </w:rPr>
              <w:t xml:space="preserve"> </w:t>
            </w:r>
          </w:p>
          <w:p w14:paraId="39822DA0">
            <w:pPr>
              <w:pStyle w:val="2"/>
              <w:numPr>
                <w:ilvl w:val="0"/>
                <w:numId w:val="2"/>
              </w:numPr>
              <w:spacing w:after="0" w:line="360" w:lineRule="auto"/>
              <w:ind w:leftChars="0" w:rightChars="0"/>
              <w:rPr>
                <w:rFonts w:hint="default" w:ascii="宋体" w:hAnsi="宋体"/>
                <w:sz w:val="21"/>
                <w:szCs w:val="21"/>
              </w:rPr>
            </w:pPr>
            <w:r>
              <w:rPr>
                <w:rFonts w:ascii="宋体" w:hAnsi="宋体"/>
                <w:sz w:val="21"/>
                <w:szCs w:val="21"/>
              </w:rPr>
              <w:t>实施阶段划分描述各个实施阶段的工作范围、内容、人力投入、过程、责任、交付成果等。</w:t>
            </w:r>
          </w:p>
          <w:p w14:paraId="521D2B17">
            <w:pPr>
              <w:pStyle w:val="2"/>
              <w:numPr>
                <w:ilvl w:val="0"/>
                <w:numId w:val="2"/>
              </w:numPr>
              <w:spacing w:after="0" w:line="360" w:lineRule="auto"/>
              <w:ind w:leftChars="0" w:rightChars="0"/>
              <w:rPr>
                <w:rFonts w:hint="default" w:ascii="宋体" w:hAnsi="宋体"/>
                <w:sz w:val="21"/>
                <w:szCs w:val="21"/>
              </w:rPr>
            </w:pPr>
            <w:r>
              <w:rPr>
                <w:rFonts w:ascii="宋体" w:hAnsi="宋体"/>
                <w:sz w:val="21"/>
                <w:szCs w:val="21"/>
              </w:rPr>
              <w:t>制定详细的项目建设进度计划，按照合同的进度计划制定具体的实施计划，定期跟踪检查，对可能发生的工程延误提出相应对策。根据工作需要定期或不定期地召开或参加项目例会、协调会议等，向学校通报项目进展情况，提交进度报告，及时解决相关问题。</w:t>
            </w:r>
          </w:p>
          <w:p w14:paraId="440AF4A3">
            <w:pPr>
              <w:pStyle w:val="2"/>
              <w:numPr>
                <w:ilvl w:val="0"/>
                <w:numId w:val="2"/>
              </w:numPr>
              <w:spacing w:after="0" w:line="360" w:lineRule="auto"/>
              <w:ind w:leftChars="0" w:rightChars="0"/>
              <w:rPr>
                <w:rFonts w:hint="default" w:ascii="宋体" w:hAnsi="宋体"/>
                <w:sz w:val="21"/>
                <w:szCs w:val="21"/>
              </w:rPr>
            </w:pPr>
            <w:r>
              <w:rPr>
                <w:rFonts w:ascii="宋体" w:hAnsi="宋体"/>
                <w:sz w:val="21"/>
                <w:szCs w:val="21"/>
              </w:rPr>
              <w:t>建立项目变更流程，记录项目变更情况。</w:t>
            </w:r>
          </w:p>
          <w:p w14:paraId="7357DE8A">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2）项目文档管理 </w:t>
            </w:r>
          </w:p>
          <w:p w14:paraId="0D013F5C">
            <w:pPr>
              <w:spacing w:line="360" w:lineRule="auto"/>
              <w:ind w:firstLine="420" w:firstLineChars="200"/>
              <w:rPr>
                <w:rFonts w:hint="eastAsia"/>
                <w:b w:val="0"/>
                <w:bCs w:val="0"/>
              </w:rPr>
            </w:pPr>
            <w:r>
              <w:rPr>
                <w:rFonts w:hint="eastAsia"/>
                <w:b w:val="0"/>
                <w:bCs w:val="0"/>
              </w:rPr>
              <w:t>投标人应向南京中医药大学提交完整、清晰、准确、汇集成册的技术文档、管理文档等资料，包括但不限于以下：</w:t>
            </w:r>
          </w:p>
          <w:p w14:paraId="03E85D34">
            <w:pPr>
              <w:pStyle w:val="2"/>
              <w:numPr>
                <w:ilvl w:val="0"/>
                <w:numId w:val="2"/>
              </w:numPr>
              <w:spacing w:after="0" w:line="360" w:lineRule="auto"/>
              <w:ind w:leftChars="0" w:rightChars="0"/>
              <w:rPr>
                <w:rFonts w:ascii="宋体" w:hAnsi="宋体"/>
                <w:sz w:val="21"/>
                <w:szCs w:val="21"/>
              </w:rPr>
            </w:pPr>
            <w:r>
              <w:rPr>
                <w:rFonts w:ascii="宋体" w:hAnsi="宋体"/>
                <w:sz w:val="21"/>
                <w:szCs w:val="21"/>
              </w:rPr>
              <w:t>可运行的系统（安装光盘，如有）。</w:t>
            </w:r>
          </w:p>
          <w:p w14:paraId="044C50E3">
            <w:pPr>
              <w:pStyle w:val="2"/>
              <w:numPr>
                <w:ilvl w:val="0"/>
                <w:numId w:val="2"/>
              </w:numPr>
              <w:spacing w:after="0" w:line="360" w:lineRule="auto"/>
              <w:ind w:leftChars="0" w:rightChars="0"/>
              <w:rPr>
                <w:rFonts w:ascii="宋体" w:hAnsi="宋体"/>
                <w:sz w:val="21"/>
                <w:szCs w:val="21"/>
              </w:rPr>
            </w:pPr>
            <w:r>
              <w:rPr>
                <w:rFonts w:ascii="宋体" w:hAnsi="宋体"/>
                <w:sz w:val="21"/>
                <w:szCs w:val="21"/>
              </w:rPr>
              <w:t>技术文档：包括软件产品开发中的各种技术文档，如项目实施方案书、系统部署手册、项目平台环境配置说明书、系统设计说明、数据库设计方案、数据库说明书、数据结构文档、数据字典、数据字典对应表和数据对接接口、系统接口规格说明书和接口文档、软件工具清单、业务需求采集与分析文档、需求说明书、系统功能与性能测试报告、测试与运行报告、用户培训材料、系统维护手册、备份恢复手册、用户操作手册、系统集成接口说明书等。</w:t>
            </w:r>
          </w:p>
          <w:p w14:paraId="7EC7C264">
            <w:pPr>
              <w:pStyle w:val="2"/>
              <w:numPr>
                <w:ilvl w:val="0"/>
                <w:numId w:val="2"/>
              </w:numPr>
              <w:spacing w:after="0" w:line="360" w:lineRule="auto"/>
              <w:ind w:leftChars="0" w:rightChars="0"/>
              <w:rPr>
                <w:rFonts w:ascii="宋体" w:hAnsi="宋体"/>
                <w:sz w:val="21"/>
                <w:szCs w:val="21"/>
              </w:rPr>
            </w:pPr>
            <w:r>
              <w:rPr>
                <w:rFonts w:ascii="宋体" w:hAnsi="宋体"/>
                <w:sz w:val="21"/>
                <w:szCs w:val="21"/>
              </w:rPr>
              <w:t>管理文档：包括项目开发中的一些工作文档，如：项目实施计划、报告、讨论纲要、会议记录、项目总结报告等。</w:t>
            </w:r>
          </w:p>
          <w:p w14:paraId="507983CB">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3）项目管理规范和手段 </w:t>
            </w:r>
          </w:p>
          <w:p w14:paraId="60C1DA30">
            <w:pPr>
              <w:spacing w:line="360" w:lineRule="auto"/>
              <w:ind w:firstLine="420" w:firstLineChars="200"/>
              <w:rPr>
                <w:rFonts w:hint="eastAsia"/>
                <w:b w:val="0"/>
                <w:bCs w:val="0"/>
              </w:rPr>
            </w:pPr>
            <w:r>
              <w:rPr>
                <w:rFonts w:hint="eastAsia"/>
                <w:b w:val="0"/>
                <w:bCs w:val="0"/>
              </w:rPr>
              <w:t>根据该项目的实施方案，在实施过程中，为了保证用户方、开发方、专家监理等各方能够对项目建设实施进行监控，及时发现和解决的问题，必须建立相应的项目管理规范，包括项目执行监控流程、执行监控的方法、执行监控的责任等，使管理和监控工作流程化、规范化，管理和监控工作责任明确。</w:t>
            </w:r>
            <w:r>
              <w:rPr>
                <w:b w:val="0"/>
                <w:bCs w:val="0"/>
              </w:rPr>
              <w:t xml:space="preserve"> </w:t>
            </w:r>
          </w:p>
          <w:p w14:paraId="07DC3C4E">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4）项目管理控制 </w:t>
            </w:r>
          </w:p>
          <w:p w14:paraId="27024026">
            <w:pPr>
              <w:spacing w:line="360" w:lineRule="auto"/>
              <w:ind w:firstLine="420" w:firstLineChars="200"/>
              <w:rPr>
                <w:b w:val="0"/>
                <w:bCs w:val="0"/>
              </w:rPr>
            </w:pPr>
            <w:r>
              <w:rPr>
                <w:rFonts w:hint="eastAsia"/>
                <w:b w:val="0"/>
                <w:bCs w:val="0"/>
              </w:rPr>
              <w:t>该项目的管理控制包含多个方面</w:t>
            </w:r>
            <w:r>
              <w:rPr>
                <w:b w:val="0"/>
                <w:bCs w:val="0"/>
              </w:rPr>
              <w:t>:</w:t>
            </w:r>
            <w:r>
              <w:rPr>
                <w:rFonts w:hint="eastAsia"/>
                <w:b w:val="0"/>
                <w:bCs w:val="0"/>
              </w:rPr>
              <w:t>项目范围、风险、进度、质量、变更管理控制，贯穿项目开发建设的始终，必须做到对项目建设范围准确定义，一旦范围发生变更，要有相应的变更控制和应对措施。</w:t>
            </w:r>
            <w:r>
              <w:rPr>
                <w:b w:val="0"/>
                <w:bCs w:val="0"/>
              </w:rPr>
              <w:t xml:space="preserve"> </w:t>
            </w:r>
          </w:p>
          <w:p w14:paraId="1C63B40B">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5</w:t>
            </w:r>
            <w:r>
              <w:rPr>
                <w:rFonts w:hint="eastAsia" w:ascii="宋体" w:hAnsi="宋体"/>
                <w:b/>
                <w:bCs/>
                <w:sz w:val="21"/>
                <w:szCs w:val="21"/>
                <w:lang w:val="en-US" w:eastAsia="zh-CN"/>
              </w:rPr>
              <w:t>.</w:t>
            </w:r>
            <w:r>
              <w:rPr>
                <w:rFonts w:ascii="宋体" w:hAnsi="宋体"/>
                <w:b/>
                <w:bCs/>
                <w:sz w:val="21"/>
                <w:szCs w:val="21"/>
              </w:rPr>
              <w:t>售后服务要求</w:t>
            </w:r>
          </w:p>
          <w:p w14:paraId="37FED35A">
            <w:pPr>
              <w:pStyle w:val="2"/>
              <w:spacing w:after="0" w:line="360" w:lineRule="auto"/>
              <w:ind w:left="0" w:leftChars="0" w:rightChars="0" w:firstLine="420" w:firstLineChars="200"/>
              <w:rPr>
                <w:rFonts w:ascii="宋体" w:hAnsi="宋体"/>
                <w:sz w:val="21"/>
                <w:szCs w:val="21"/>
              </w:rPr>
            </w:pPr>
            <w:r>
              <w:rPr>
                <w:rFonts w:ascii="宋体" w:hAnsi="宋体"/>
                <w:sz w:val="21"/>
                <w:szCs w:val="21"/>
              </w:rPr>
              <w:t xml:space="preserve">1）投标人至少应提供自项目验收之日起为期五年的免费维护服务。 </w:t>
            </w:r>
          </w:p>
          <w:p w14:paraId="45FEF6DE">
            <w:pPr>
              <w:pStyle w:val="2"/>
              <w:spacing w:after="0" w:line="360" w:lineRule="auto"/>
              <w:ind w:left="0" w:leftChars="0" w:rightChars="0" w:firstLine="420" w:firstLineChars="200"/>
              <w:rPr>
                <w:rFonts w:ascii="宋体" w:hAnsi="宋体"/>
                <w:sz w:val="21"/>
                <w:szCs w:val="21"/>
              </w:rPr>
            </w:pPr>
            <w:r>
              <w:rPr>
                <w:rFonts w:ascii="宋体" w:hAnsi="宋体"/>
                <w:sz w:val="21"/>
                <w:szCs w:val="21"/>
              </w:rPr>
              <w:t>2）在服务期间，出现问题时，要求 30 分钟内响应，2 小时内到达现场，常规技术故障应在 12 小时内解决。在质保期内提供免费升级服务。在校方需要提供服务(包括即时的和非即时的)时，能够与投标方联系沟通的方式描述，应包括:服务热线电话和联系人、联系单位信息、信函/传真、电子邮件、服务网站。投标人需将服务团队成员及服务方案详细列出。</w:t>
            </w:r>
          </w:p>
          <w:p w14:paraId="61516DF3">
            <w:pPr>
              <w:pStyle w:val="2"/>
              <w:spacing w:after="0" w:line="360" w:lineRule="auto"/>
              <w:ind w:left="0" w:leftChars="0" w:rightChars="0" w:firstLine="422" w:firstLineChars="200"/>
              <w:rPr>
                <w:rFonts w:ascii="宋体" w:hAnsi="宋体"/>
                <w:b/>
                <w:bCs/>
                <w:sz w:val="21"/>
                <w:szCs w:val="21"/>
              </w:rPr>
            </w:pPr>
            <w:r>
              <w:rPr>
                <w:rFonts w:ascii="宋体" w:hAnsi="宋体"/>
                <w:b/>
                <w:bCs/>
                <w:sz w:val="21"/>
                <w:szCs w:val="21"/>
              </w:rPr>
              <w:t>6</w:t>
            </w:r>
            <w:r>
              <w:rPr>
                <w:rFonts w:hint="eastAsia" w:ascii="宋体" w:hAnsi="宋体"/>
                <w:b/>
                <w:bCs/>
                <w:sz w:val="21"/>
                <w:szCs w:val="21"/>
                <w:lang w:val="en-US" w:eastAsia="zh-CN"/>
              </w:rPr>
              <w:t>.</w:t>
            </w:r>
            <w:r>
              <w:rPr>
                <w:rFonts w:ascii="宋体" w:hAnsi="宋体"/>
                <w:b/>
                <w:bCs/>
                <w:sz w:val="21"/>
                <w:szCs w:val="21"/>
              </w:rPr>
              <w:t>验收要求</w:t>
            </w:r>
          </w:p>
          <w:p w14:paraId="0BF3F22D">
            <w:pPr>
              <w:pStyle w:val="2"/>
              <w:spacing w:after="0" w:line="360" w:lineRule="auto"/>
              <w:ind w:left="0" w:leftChars="0" w:rightChars="0" w:firstLine="420" w:firstLineChars="200"/>
              <w:rPr>
                <w:rFonts w:hint="default" w:ascii="宋体" w:hAnsi="宋体"/>
                <w:sz w:val="21"/>
                <w:szCs w:val="21"/>
              </w:rPr>
            </w:pPr>
            <w:r>
              <w:rPr>
                <w:rFonts w:ascii="宋体" w:hAnsi="宋体"/>
                <w:sz w:val="21"/>
                <w:szCs w:val="21"/>
              </w:rPr>
              <w:t>1）投标人应向南京中医药大学提交完整的项目验收方案，本项目验收按照《南京中医药大学信息化项目建设管理办法（试行）》的相关规定执行。</w:t>
            </w:r>
          </w:p>
          <w:p w14:paraId="289E553B">
            <w:pPr>
              <w:spacing w:line="360" w:lineRule="auto"/>
              <w:ind w:firstLine="420" w:firstLineChars="200"/>
              <w:rPr>
                <w:b w:val="0"/>
                <w:bCs w:val="0"/>
              </w:rPr>
            </w:pPr>
            <w:r>
              <w:rPr>
                <w:b w:val="0"/>
                <w:bCs w:val="0"/>
              </w:rPr>
              <w:t>2）</w:t>
            </w:r>
            <w:r>
              <w:rPr>
                <w:rFonts w:hint="eastAsia"/>
                <w:b w:val="0"/>
                <w:bCs w:val="0"/>
              </w:rPr>
              <w:t>在本期项目的开发过程中和交付使用后，各个阶段都会有各种成果和文档资料。这些成果和文档资料对所开发系统的维护和持续发展起着非常重大的作用。因此，要求将全面、规范的成果和文档资料交付给学校，而且要提供明确的交付清单。同时，成果和文档资料应符合软件工程的相关要求。要交付的成果和文档资料主要包括但不限于以下文档</w:t>
            </w:r>
            <w:r>
              <w:rPr>
                <w:b w:val="0"/>
                <w:bCs w:val="0"/>
              </w:rPr>
              <w:t xml:space="preserve">: </w:t>
            </w:r>
          </w:p>
          <w:p w14:paraId="5D388AB4">
            <w:pPr>
              <w:spacing w:line="360" w:lineRule="auto"/>
              <w:ind w:firstLine="200"/>
              <w:rPr>
                <w:b w:val="0"/>
                <w:bCs w:val="0"/>
              </w:rPr>
            </w:pPr>
            <w:r>
              <w:rPr>
                <w:rFonts w:hint="eastAsia"/>
                <w:b w:val="0"/>
                <w:bCs w:val="0"/>
              </w:rPr>
              <w:t>《项目实施计划》</w:t>
            </w:r>
          </w:p>
          <w:p w14:paraId="5D2E0629">
            <w:pPr>
              <w:spacing w:line="360" w:lineRule="auto"/>
              <w:ind w:firstLine="200"/>
              <w:rPr>
                <w:b w:val="0"/>
                <w:bCs w:val="0"/>
              </w:rPr>
            </w:pPr>
            <w:r>
              <w:rPr>
                <w:rFonts w:hint="eastAsia"/>
                <w:b w:val="0"/>
                <w:bCs w:val="0"/>
              </w:rPr>
              <w:t>《需求规格说明书》</w:t>
            </w:r>
          </w:p>
          <w:p w14:paraId="49AF4CE1">
            <w:pPr>
              <w:spacing w:line="360" w:lineRule="auto"/>
              <w:ind w:firstLine="200"/>
              <w:rPr>
                <w:b w:val="0"/>
                <w:bCs w:val="0"/>
              </w:rPr>
            </w:pPr>
            <w:r>
              <w:rPr>
                <w:rFonts w:hint="eastAsia"/>
                <w:b w:val="0"/>
                <w:bCs w:val="0"/>
              </w:rPr>
              <w:t>《系统测试报告书》</w:t>
            </w:r>
          </w:p>
          <w:p w14:paraId="6525227C">
            <w:pPr>
              <w:spacing w:line="360" w:lineRule="auto"/>
              <w:ind w:firstLine="200"/>
              <w:rPr>
                <w:b w:val="0"/>
                <w:bCs w:val="0"/>
              </w:rPr>
            </w:pPr>
            <w:r>
              <w:rPr>
                <w:rFonts w:hint="eastAsia"/>
                <w:b w:val="0"/>
                <w:bCs w:val="0"/>
              </w:rPr>
              <w:t>《用户体验反馈书》</w:t>
            </w:r>
          </w:p>
          <w:p w14:paraId="5CA8EB94">
            <w:pPr>
              <w:spacing w:line="360" w:lineRule="auto"/>
              <w:ind w:firstLine="200"/>
              <w:rPr>
                <w:b w:val="0"/>
                <w:bCs w:val="0"/>
              </w:rPr>
            </w:pPr>
            <w:r>
              <w:rPr>
                <w:rFonts w:hint="eastAsia"/>
                <w:b w:val="0"/>
                <w:bCs w:val="0"/>
              </w:rPr>
              <w:t>《系统试运行阶段用户问题反馈确认单》</w:t>
            </w:r>
          </w:p>
          <w:p w14:paraId="57626242">
            <w:pPr>
              <w:spacing w:line="360" w:lineRule="auto"/>
              <w:ind w:firstLine="200"/>
              <w:rPr>
                <w:b w:val="0"/>
                <w:bCs w:val="0"/>
              </w:rPr>
            </w:pPr>
            <w:r>
              <w:rPr>
                <w:rFonts w:hint="eastAsia"/>
                <w:b w:val="0"/>
                <w:bCs w:val="0"/>
              </w:rPr>
              <w:t>《系统验收方案》</w:t>
            </w:r>
          </w:p>
          <w:p w14:paraId="7460617A">
            <w:pPr>
              <w:spacing w:line="360" w:lineRule="auto"/>
              <w:ind w:firstLine="200"/>
              <w:rPr>
                <w:b w:val="0"/>
                <w:bCs w:val="0"/>
              </w:rPr>
            </w:pPr>
            <w:r>
              <w:rPr>
                <w:rFonts w:hint="eastAsia"/>
                <w:b w:val="0"/>
                <w:bCs w:val="0"/>
              </w:rPr>
              <w:t>《系统验收报告》</w:t>
            </w:r>
            <w:r>
              <w:rPr>
                <w:b w:val="0"/>
                <w:bCs w:val="0"/>
              </w:rPr>
              <w:t xml:space="preserve"> </w:t>
            </w:r>
          </w:p>
          <w:p w14:paraId="30888DEA">
            <w:pPr>
              <w:spacing w:line="360" w:lineRule="auto"/>
              <w:ind w:firstLine="200"/>
              <w:rPr>
                <w:b w:val="0"/>
                <w:bCs w:val="0"/>
              </w:rPr>
            </w:pPr>
            <w:r>
              <w:rPr>
                <w:rFonts w:hint="eastAsia"/>
                <w:b w:val="0"/>
                <w:bCs w:val="0"/>
              </w:rPr>
              <w:t>《系统安装维护手册》</w:t>
            </w:r>
            <w:r>
              <w:rPr>
                <w:b w:val="0"/>
                <w:bCs w:val="0"/>
              </w:rPr>
              <w:t xml:space="preserve"> </w:t>
            </w:r>
          </w:p>
          <w:p w14:paraId="01B928F2">
            <w:pPr>
              <w:spacing w:line="360" w:lineRule="auto"/>
              <w:ind w:firstLine="200"/>
              <w:rPr>
                <w:b w:val="0"/>
                <w:bCs w:val="0"/>
              </w:rPr>
            </w:pPr>
            <w:r>
              <w:rPr>
                <w:rFonts w:hint="eastAsia"/>
                <w:b w:val="0"/>
                <w:bCs w:val="0"/>
              </w:rPr>
              <w:t>《系统用户手册》</w:t>
            </w:r>
          </w:p>
          <w:p w14:paraId="376484B6">
            <w:pPr>
              <w:spacing w:line="360" w:lineRule="auto"/>
              <w:ind w:firstLine="200"/>
              <w:rPr>
                <w:b w:val="0"/>
                <w:bCs w:val="0"/>
              </w:rPr>
            </w:pPr>
            <w:r>
              <w:rPr>
                <w:rFonts w:hint="eastAsia"/>
                <w:b w:val="0"/>
                <w:bCs w:val="0"/>
              </w:rPr>
              <w:t>《软件等级保护评估报告》</w:t>
            </w:r>
          </w:p>
          <w:p w14:paraId="264407D2">
            <w:pPr>
              <w:spacing w:line="360" w:lineRule="auto"/>
              <w:ind w:firstLine="200"/>
            </w:pPr>
            <w:r>
              <w:rPr>
                <w:rFonts w:hint="eastAsia"/>
                <w:b w:val="0"/>
                <w:bCs w:val="0"/>
              </w:rPr>
              <w:t>《信息化基础平台接入应用系统验收评审单》</w:t>
            </w:r>
            <w:r>
              <w:rPr>
                <w:b w:val="0"/>
                <w:bCs w:val="0"/>
              </w:rPr>
              <w:t xml:space="preserve"> </w:t>
            </w:r>
          </w:p>
          <w:p w14:paraId="1AECDBA2">
            <w:pPr>
              <w:spacing w:line="360" w:lineRule="auto"/>
              <w:ind w:firstLine="200"/>
              <w:rPr>
                <w:b w:val="0"/>
                <w:bCs w:val="0"/>
              </w:rPr>
            </w:pPr>
            <w:r>
              <w:rPr>
                <w:rFonts w:hint="eastAsia"/>
                <w:b w:val="0"/>
                <w:bCs w:val="0"/>
              </w:rPr>
              <w:t>《信息化项目售后服务数据回流承诺书》</w:t>
            </w:r>
            <w:r>
              <w:rPr>
                <w:b w:val="0"/>
                <w:bCs w:val="0"/>
              </w:rPr>
              <w:t xml:space="preserve"> </w:t>
            </w:r>
          </w:p>
          <w:p w14:paraId="0BB28F40">
            <w:pPr>
              <w:spacing w:line="360" w:lineRule="auto"/>
              <w:ind w:firstLine="200"/>
              <w:rPr>
                <w:b w:val="0"/>
                <w:bCs w:val="0"/>
              </w:rPr>
            </w:pPr>
            <w:r>
              <w:rPr>
                <w:rFonts w:hint="eastAsia"/>
                <w:b w:val="0"/>
                <w:bCs w:val="0"/>
              </w:rPr>
              <w:t>《质保承诺函》</w:t>
            </w:r>
          </w:p>
          <w:p w14:paraId="5C2E42F8">
            <w:pPr>
              <w:spacing w:line="360" w:lineRule="auto"/>
              <w:ind w:firstLine="200"/>
              <w:rPr>
                <w:b w:val="0"/>
                <w:bCs w:val="0"/>
              </w:rPr>
            </w:pPr>
            <w:r>
              <w:rPr>
                <w:rFonts w:hint="eastAsia"/>
                <w:b w:val="0"/>
                <w:bCs w:val="0"/>
              </w:rPr>
              <w:t>《系统数据文档》</w:t>
            </w:r>
          </w:p>
          <w:p w14:paraId="75CC1130">
            <w:pPr>
              <w:spacing w:line="360" w:lineRule="auto"/>
              <w:ind w:firstLine="200"/>
              <w:rPr>
                <w:b w:val="0"/>
                <w:bCs w:val="0"/>
              </w:rPr>
            </w:pPr>
            <w:r>
              <w:rPr>
                <w:rFonts w:hint="eastAsia"/>
                <w:b w:val="0"/>
                <w:bCs w:val="0"/>
              </w:rPr>
              <w:t>《系统接口文档》</w:t>
            </w:r>
          </w:p>
          <w:p w14:paraId="30BC4A43">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7</w:t>
            </w:r>
            <w:r>
              <w:rPr>
                <w:rFonts w:hint="eastAsia" w:ascii="宋体" w:hAnsi="宋体"/>
                <w:b/>
                <w:bCs/>
                <w:sz w:val="21"/>
                <w:szCs w:val="21"/>
                <w:lang w:val="en-US" w:eastAsia="zh-CN"/>
              </w:rPr>
              <w:t>.</w:t>
            </w:r>
            <w:r>
              <w:rPr>
                <w:rFonts w:ascii="宋体" w:hAnsi="宋体"/>
                <w:b/>
                <w:bCs/>
                <w:sz w:val="21"/>
                <w:szCs w:val="21"/>
              </w:rPr>
              <w:t>培训要求</w:t>
            </w:r>
          </w:p>
          <w:p w14:paraId="4279AE80">
            <w:pPr>
              <w:spacing w:line="360" w:lineRule="auto"/>
              <w:ind w:firstLine="420" w:firstLineChars="200"/>
              <w:rPr>
                <w:rFonts w:hint="eastAsia"/>
                <w:b w:val="0"/>
                <w:bCs w:val="0"/>
              </w:rPr>
            </w:pPr>
            <w:r>
              <w:rPr>
                <w:rFonts w:hint="eastAsia"/>
                <w:b w:val="0"/>
                <w:bCs w:val="0"/>
              </w:rPr>
              <w:t>投标人应向南京中医药大学提交完整的项目培训方案，培训应贯串于整个项目的实施过程中，包括在从项目准备、研发到项目运行的全过程中。在项目合同中将具体规定培训内容、培训时间和培训名额等。投标人派出的培训教员应具有</w:t>
            </w:r>
            <w:r>
              <w:rPr>
                <w:b w:val="0"/>
                <w:bCs w:val="0"/>
              </w:rPr>
              <w:t xml:space="preserve"> </w:t>
            </w:r>
            <w:r>
              <w:rPr>
                <w:rFonts w:hint="eastAsia"/>
                <w:b w:val="0"/>
                <w:bCs w:val="0"/>
              </w:rPr>
              <w:t>丰富的同类课程的教学经验和应用经验。所有的培训教员必须用中文授课。投标人必须为所有被培训人员提供培训用文字资料和讲义等相关材料。投标人应按合同规定安排培训时间和</w:t>
            </w:r>
            <w:r>
              <w:rPr>
                <w:b w:val="0"/>
                <w:bCs w:val="0"/>
              </w:rPr>
              <w:t xml:space="preserve"> </w:t>
            </w:r>
            <w:r>
              <w:rPr>
                <w:rFonts w:hint="eastAsia"/>
                <w:b w:val="0"/>
                <w:bCs w:val="0"/>
              </w:rPr>
              <w:t>培训名额，在实施过程中，针对系统管理人员提供培训，保证培训的效果，让系统管理人员</w:t>
            </w:r>
            <w:r>
              <w:rPr>
                <w:b w:val="0"/>
                <w:bCs w:val="0"/>
              </w:rPr>
              <w:t xml:space="preserve"> </w:t>
            </w:r>
            <w:r>
              <w:rPr>
                <w:rFonts w:hint="eastAsia"/>
                <w:b w:val="0"/>
                <w:bCs w:val="0"/>
              </w:rPr>
              <w:t>都能熟练掌握系统的使用方法。</w:t>
            </w:r>
          </w:p>
          <w:p w14:paraId="51284D40">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8</w:t>
            </w:r>
            <w:r>
              <w:rPr>
                <w:rFonts w:hint="eastAsia" w:ascii="宋体" w:hAnsi="宋体"/>
                <w:b/>
                <w:bCs/>
                <w:sz w:val="21"/>
                <w:szCs w:val="21"/>
                <w:lang w:val="en-US" w:eastAsia="zh-CN"/>
              </w:rPr>
              <w:t>.</w:t>
            </w:r>
            <w:r>
              <w:rPr>
                <w:rFonts w:ascii="宋体" w:hAnsi="宋体"/>
                <w:b/>
                <w:bCs/>
                <w:sz w:val="21"/>
                <w:szCs w:val="21"/>
              </w:rPr>
              <w:t>★中标单位在中标公示结束合同签订前，须在10个工作日内提供本项目所投产品样本，供采购人进行技术参数核验。如发现中标单位存在虚假应标等情况，将中止中标单位的中标资格。</w:t>
            </w:r>
          </w:p>
          <w:p w14:paraId="083B4C9D">
            <w:pPr>
              <w:pStyle w:val="2"/>
              <w:spacing w:after="0" w:line="360" w:lineRule="auto"/>
              <w:ind w:left="0" w:leftChars="0" w:rightChars="0" w:firstLine="422" w:firstLineChars="200"/>
              <w:rPr>
                <w:rFonts w:hint="eastAsia" w:ascii="宋体" w:hAnsi="宋体"/>
                <w:b/>
                <w:bCs/>
                <w:sz w:val="21"/>
                <w:szCs w:val="21"/>
              </w:rPr>
            </w:pPr>
            <w:r>
              <w:rPr>
                <w:rFonts w:hint="eastAsia" w:ascii="宋体" w:hAnsi="宋体"/>
                <w:b/>
                <w:bCs/>
                <w:sz w:val="21"/>
                <w:szCs w:val="21"/>
              </w:rPr>
              <w:t>9.履约保证金</w:t>
            </w:r>
          </w:p>
          <w:p w14:paraId="30B02DF1">
            <w:pPr>
              <w:pStyle w:val="2"/>
              <w:spacing w:after="0" w:line="360" w:lineRule="auto"/>
              <w:ind w:left="0" w:leftChars="0" w:rightChars="0" w:firstLine="422" w:firstLineChars="200"/>
              <w:rPr>
                <w:rFonts w:hint="default" w:ascii="宋体" w:hAnsi="宋体"/>
                <w:b/>
                <w:bCs/>
                <w:sz w:val="21"/>
                <w:szCs w:val="21"/>
              </w:rPr>
            </w:pPr>
            <w:r>
              <w:rPr>
                <w:rFonts w:ascii="宋体" w:hAnsi="宋体"/>
                <w:b/>
                <w:bCs/>
                <w:sz w:val="21"/>
                <w:szCs w:val="21"/>
              </w:rPr>
              <w:t>中标单位在签订合同前需向学校缴纳项目合同价的5%作为合同履约保证金，自项目经书面确认验收合格之日算12个月后，学校确认无质量问题且中标单位无违约情形后无息退还中标单位。</w:t>
            </w:r>
          </w:p>
          <w:p w14:paraId="1228678B">
            <w:pPr>
              <w:pStyle w:val="2"/>
              <w:spacing w:after="0" w:line="360" w:lineRule="auto"/>
              <w:ind w:left="0" w:leftChars="0" w:rightChars="0" w:firstLine="422" w:firstLineChars="200"/>
              <w:rPr>
                <w:rFonts w:ascii="宋体" w:hAnsi="宋体"/>
                <w:b/>
                <w:bCs/>
                <w:sz w:val="21"/>
                <w:szCs w:val="21"/>
              </w:rPr>
            </w:pPr>
            <w:r>
              <w:rPr>
                <w:rFonts w:hint="eastAsia" w:ascii="宋体" w:hAnsi="宋体"/>
                <w:b/>
                <w:bCs/>
                <w:sz w:val="21"/>
                <w:szCs w:val="21"/>
                <w:lang w:val="en-US" w:eastAsia="zh-CN"/>
              </w:rPr>
              <w:t>10</w:t>
            </w:r>
            <w:bookmarkStart w:id="4" w:name="_GoBack"/>
            <w:bookmarkEnd w:id="4"/>
            <w:r>
              <w:rPr>
                <w:rFonts w:hint="eastAsia" w:ascii="宋体" w:hAnsi="宋体"/>
                <w:b/>
                <w:bCs/>
                <w:sz w:val="21"/>
                <w:szCs w:val="21"/>
                <w:lang w:val="en-US" w:eastAsia="zh-CN"/>
              </w:rPr>
              <w:t>.</w:t>
            </w:r>
            <w:r>
              <w:rPr>
                <w:rFonts w:ascii="宋体" w:hAnsi="宋体"/>
                <w:b/>
                <w:bCs/>
                <w:sz w:val="21"/>
                <w:szCs w:val="21"/>
              </w:rPr>
              <w:t>付款方式</w:t>
            </w:r>
          </w:p>
          <w:p w14:paraId="33190A6D">
            <w:pPr>
              <w:spacing w:line="360" w:lineRule="auto"/>
              <w:ind w:firstLine="420" w:firstLineChars="200"/>
              <w:rPr>
                <w:b w:val="0"/>
                <w:bCs w:val="0"/>
              </w:rPr>
            </w:pPr>
            <w:r>
              <w:rPr>
                <w:rFonts w:hint="eastAsia"/>
                <w:b w:val="0"/>
                <w:bCs w:val="0"/>
                <w:color w:val="000000"/>
              </w:rPr>
              <w:t>1）中标单位</w:t>
            </w:r>
            <w:r>
              <w:rPr>
                <w:b w:val="0"/>
                <w:bCs w:val="0"/>
                <w:color w:val="000000"/>
              </w:rPr>
              <w:t>在合同规定的</w:t>
            </w:r>
            <w:r>
              <w:rPr>
                <w:rFonts w:hint="eastAsia"/>
                <w:b w:val="0"/>
                <w:bCs w:val="0"/>
                <w:color w:val="000000"/>
              </w:rPr>
              <w:t>服务</w:t>
            </w:r>
            <w:r>
              <w:rPr>
                <w:b w:val="0"/>
                <w:bCs w:val="0"/>
                <w:color w:val="000000"/>
              </w:rPr>
              <w:t>期限内完成</w:t>
            </w:r>
            <w:r>
              <w:rPr>
                <w:rFonts w:hint="eastAsia"/>
                <w:b w:val="0"/>
                <w:bCs w:val="0"/>
                <w:color w:val="000000"/>
              </w:rPr>
              <w:t>全部</w:t>
            </w:r>
            <w:r>
              <w:rPr>
                <w:b w:val="0"/>
                <w:bCs w:val="0"/>
                <w:color w:val="000000"/>
              </w:rPr>
              <w:t>服务内容，</w:t>
            </w:r>
            <w:r>
              <w:rPr>
                <w:rFonts w:hint="eastAsia"/>
                <w:b w:val="0"/>
                <w:bCs w:val="0"/>
                <w:color w:val="000000"/>
              </w:rPr>
              <w:t>学校</w:t>
            </w:r>
            <w:r>
              <w:rPr>
                <w:b w:val="0"/>
                <w:bCs w:val="0"/>
                <w:color w:val="000000"/>
              </w:rPr>
              <w:t>方最终书面确认验收合格后</w:t>
            </w:r>
            <w:r>
              <w:rPr>
                <w:rFonts w:hint="eastAsia"/>
                <w:b w:val="0"/>
                <w:bCs w:val="0"/>
                <w:color w:val="000000"/>
                <w:lang w:val="en-US" w:eastAsia="zh-CN"/>
              </w:rPr>
              <w:t>15</w:t>
            </w:r>
            <w:r>
              <w:rPr>
                <w:b w:val="0"/>
                <w:bCs w:val="0"/>
                <w:color w:val="000000"/>
              </w:rPr>
              <w:t>个工作日内支付</w:t>
            </w:r>
            <w:r>
              <w:rPr>
                <w:rFonts w:hint="eastAsia"/>
                <w:b w:val="0"/>
                <w:bCs w:val="0"/>
                <w:color w:val="000000"/>
              </w:rPr>
              <w:t>全部合同款</w:t>
            </w:r>
            <w:r>
              <w:rPr>
                <w:rFonts w:hint="eastAsia"/>
                <w:b w:val="0"/>
                <w:bCs w:val="0"/>
              </w:rPr>
              <w:t>。</w:t>
            </w:r>
          </w:p>
          <w:p w14:paraId="782F9478">
            <w:pPr>
              <w:spacing w:line="360" w:lineRule="auto"/>
              <w:ind w:firstLine="420" w:firstLineChars="200"/>
            </w:pPr>
            <w:r>
              <w:rPr>
                <w:b w:val="0"/>
                <w:bCs w:val="0"/>
                <w:color w:val="000000"/>
              </w:rPr>
              <w:t>2）每次在学校方支付合同款之前，中标单位方须向学校方开具相应金额且符合学校方财务要求的增值税发票，学校方在收到发票且满足上述付款条件后向中标单位付款。如遇付款时间为学校方学校寒暑假期或其他财务封帐期等特殊情况，暂时无法支付款项的，则付款时间可以顺延。对此中标单位表示：遇此情况下学校方可以推迟付款且不构成违约。</w:t>
            </w:r>
          </w:p>
        </w:tc>
      </w:tr>
    </w:tbl>
    <w:p w14:paraId="3FD996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decorative"/>
    <w:pitch w:val="default"/>
    <w:sig w:usb0="00000000" w:usb1="00000000" w:usb2="00000000" w:usb3="00000000" w:csb0="80000000" w:csb1="00000000"/>
  </w:font>
  <w:font w:name="方正楷体_GBK">
    <w:panose1 w:val="02000000000000000000"/>
    <w:charset w:val="86"/>
    <w:family w:val="auto"/>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D3710"/>
    <w:multiLevelType w:val="multilevel"/>
    <w:tmpl w:val="630D371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
    <w:nsid w:val="76F95E7D"/>
    <w:multiLevelType w:val="singleLevel"/>
    <w:tmpl w:val="76F95E7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FA"/>
    <w:rsid w:val="00003CEA"/>
    <w:rsid w:val="00054D4C"/>
    <w:rsid w:val="00451DDC"/>
    <w:rsid w:val="0050792B"/>
    <w:rsid w:val="00565EAE"/>
    <w:rsid w:val="00A2568E"/>
    <w:rsid w:val="00A46B25"/>
    <w:rsid w:val="00B33473"/>
    <w:rsid w:val="00C10F99"/>
    <w:rsid w:val="00C96CA3"/>
    <w:rsid w:val="00E147AB"/>
    <w:rsid w:val="00E536FA"/>
    <w:rsid w:val="33D3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b/>
      <w:bCs/>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widowControl w:val="0"/>
      <w:spacing w:after="120"/>
      <w:ind w:left="1440" w:leftChars="700" w:rightChars="700"/>
      <w:jc w:val="both"/>
    </w:pPr>
    <w:rPr>
      <w:rFonts w:hint="eastAsia" w:ascii="Times New Roman" w:hAnsi="Times New Roman" w:cs="Times New Roman"/>
      <w:b w:val="0"/>
      <w:bCs w:val="0"/>
      <w:sz w:val="24"/>
      <w:szCs w:val="24"/>
    </w:rPr>
  </w:style>
  <w:style w:type="paragraph" w:styleId="3">
    <w:name w:val="footer"/>
    <w:basedOn w:val="1"/>
    <w:link w:val="9"/>
    <w:qFormat/>
    <w:uiPriority w:val="99"/>
    <w:pPr>
      <w:tabs>
        <w:tab w:val="center" w:pos="4153"/>
        <w:tab w:val="right" w:pos="8306"/>
      </w:tabs>
      <w:snapToGrid w:val="0"/>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 w:type="paragraph" w:styleId="10">
    <w:name w:val="List Paragraph"/>
    <w:basedOn w:val="1"/>
    <w:qFormat/>
    <w:uiPriority w:val="34"/>
    <w:pPr>
      <w:ind w:firstLine="420" w:firstLineChars="200"/>
    </w:pPr>
  </w:style>
  <w:style w:type="character" w:customStyle="1" w:styleId="11">
    <w:name w:val="标准文本 Char"/>
    <w:link w:val="12"/>
    <w:qFormat/>
    <w:uiPriority w:val="0"/>
    <w:rPr>
      <w:sz w:val="24"/>
    </w:rPr>
  </w:style>
  <w:style w:type="paragraph" w:customStyle="1" w:styleId="12">
    <w:name w:val="标准文本"/>
    <w:basedOn w:val="1"/>
    <w:link w:val="11"/>
    <w:qFormat/>
    <w:uiPriority w:val="0"/>
    <w:pPr>
      <w:widowControl w:val="0"/>
      <w:spacing w:line="360" w:lineRule="auto"/>
      <w:ind w:firstLine="480" w:firstLineChars="200"/>
      <w:jc w:val="both"/>
    </w:pPr>
    <w:rPr>
      <w:rFonts w:ascii="等线" w:hAnsi="等线" w:eastAsia="等线"/>
      <w:b w:val="0"/>
      <w:bCs w:val="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南京中医药大学</Company>
  <Pages>6</Pages>
  <Words>4207</Words>
  <Characters>4242</Characters>
  <Lines>30</Lines>
  <Paragraphs>8</Paragraphs>
  <TotalTime>0</TotalTime>
  <ScaleCrop>false</ScaleCrop>
  <LinksUpToDate>false</LinksUpToDate>
  <CharactersWithSpaces>4266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2024-10-16T23:18:00Z</dcterms:created>
  <dc:creator>汤凡</dc:creator>
  <cp:lastModifiedBy>变变</cp:lastModifiedBy>
  <cp:lastPrinted>2024-11-29T05:43:00Z</cp:lastPrinted>
  <dcterms:modified xsi:type="dcterms:W3CDTF">2025-06-25T06:03:50Z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EC353F6529534D96A1D953DA6FF28B69_13</vt:lpwstr>
  </property>
  <property fmtid="{D5CDD505-2E9C-101B-9397-08002B2CF9AE}" pid="4" name="KSOTemplateDocerSaveRecord">
    <vt:lpwstr>eyJoZGlkIjoiYzA4ODIwNzBiZGQxNmJjZTQyYjQxNzIzZGYyYTc2ZTIiLCJ1c2VySWQiOiI1NTgwMjcwNzIifQ==</vt:lpwstr>
  </property>
</Properties>
</file>