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084C">
      <w:pPr>
        <w:jc w:val="center"/>
        <w:rPr>
          <w:rFonts w:ascii="宋体" w:hAnsi="宋体" w:eastAsia="宋体"/>
          <w:sz w:val="32"/>
          <w:szCs w:val="32"/>
        </w:rPr>
      </w:pPr>
    </w:p>
    <w:p w14:paraId="0692D5E5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573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9B5F8F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：科研型智能成像显微镜</w:t>
            </w:r>
          </w:p>
        </w:tc>
      </w:tr>
      <w:tr w14:paraId="4ECF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FA352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6A93509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张钦畅</w:t>
            </w:r>
          </w:p>
        </w:tc>
        <w:tc>
          <w:tcPr>
            <w:tcW w:w="1701" w:type="dxa"/>
          </w:tcPr>
          <w:p w14:paraId="76485E2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6C0DC64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15205200058</w:t>
            </w:r>
          </w:p>
        </w:tc>
      </w:tr>
      <w:tr w14:paraId="3170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1B986EA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11BA8B86"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45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万元</w:t>
            </w:r>
          </w:p>
        </w:tc>
      </w:tr>
      <w:tr w14:paraId="7B25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42B11D35">
            <w:pPr>
              <w:spacing w:line="4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494EA71C">
            <w:pPr>
              <w:numPr>
                <w:ilvl w:val="0"/>
                <w:numId w:val="1"/>
              </w:numPr>
              <w:spacing w:line="44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设备功能：病理片；免疫荧光组化；普通染色标本观察；</w:t>
            </w:r>
          </w:p>
          <w:p w14:paraId="266BCB0E">
            <w:pPr>
              <w:pStyle w:val="2"/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二、用途：用于生命科学、免疫学、药理学等研究显微镜检的应用，可以适用于载玻片观察。</w:t>
            </w:r>
          </w:p>
        </w:tc>
      </w:tr>
      <w:tr w14:paraId="56BC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5B401845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采购数量：1台。</w:t>
            </w:r>
          </w:p>
          <w:p w14:paraId="7A0D4501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</w:p>
          <w:p w14:paraId="0B6A5EE3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35B11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显微镜光路采用无限远色差像差和反差校正系统。在传统无限远光路基础上,增强反差校正，提高图像的反差效果。</w:t>
            </w:r>
          </w:p>
          <w:p w14:paraId="12A26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具有明场、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荧光、相差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观察功能。</w:t>
            </w:r>
          </w:p>
          <w:p w14:paraId="7F678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目镜10X，视场≥23mm。高眼点、宽视野设计，双眼视度分别可调。</w:t>
            </w:r>
          </w:p>
          <w:p w14:paraId="2D613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主动光强管理系统，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</w:rPr>
              <w:t>可适用于所有物镜，用于自动调节对应物镜和滤块位置的光强度。</w:t>
            </w:r>
          </w:p>
          <w:p w14:paraId="1F36C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总放大倍率50X-630X。物镜：5X、10X高级多功能荧光物镜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LD20X，LD40X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为增强反差型荧光物镜，63X为增强反差型荧光油镜。</w:t>
            </w:r>
          </w:p>
          <w:p w14:paraId="5C8F8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内藏式标准照明装置，LED长寿命光源，功率≥10W,使用寿命≥6万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小时。</w:t>
            </w:r>
          </w:p>
          <w:p w14:paraId="2C972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编码型物镜转换器≥6位，不同倍数物镜可分别定义光强，切换时自动匹配亮度。同时，切换不同倍数镜头时，自动计算标尺。</w:t>
            </w:r>
          </w:p>
          <w:p w14:paraId="50BE8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集成节能和为了延长照明寿命的Eco-mode，当显微镜在空闲15分钟后会自动进入待机状态。</w:t>
            </w:r>
          </w:p>
          <w:p w14:paraId="0BAE9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机身集成两个快速拍摄图像按钮，靠近两侧调焦旋钮，可快速获取图像或视频信息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8E35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机身集成透射光反射光电动光闸，一键切换荧光及透射光观察方式，切换到荧光时，透射光光闸自动关闭。</w:t>
            </w:r>
          </w:p>
          <w:p w14:paraId="035A1A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独特的覆膜技术，光学元件长时间不生霉，且不使用任何化学防霉剂，绿色环保，对环境和使用者不会造成任何伤害。</w:t>
            </w:r>
          </w:p>
          <w:p w14:paraId="0007C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彩色CMOS芯片尺寸≥2/3英寸，像素尺寸≥3.45 μm × 3.45 μm，数值化范围≥14bit，曝光时间0.1 ms至 60 s，动态范围1：5000，高动态范围模式1：25000。</w:t>
            </w:r>
          </w:p>
          <w:p w14:paraId="0FA2A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荧光转盘≥6位，配有DAPI、FITC、CY3、CY3.5、CY5五通道荧光滤片。</w:t>
            </w:r>
          </w:p>
          <w:p w14:paraId="6DFFD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Hlk110246014"/>
            <w:r>
              <w:rPr>
                <w:rFonts w:hint="eastAsia" w:ascii="宋体" w:hAnsi="宋体" w:eastAsia="宋体" w:cs="宋体"/>
                <w:sz w:val="24"/>
                <w:szCs w:val="24"/>
              </w:rPr>
              <w:t>白光LED荧光光源，使用寿命大于2万小时。</w:t>
            </w:r>
          </w:p>
          <w:bookmarkEnd w:id="0"/>
          <w:p w14:paraId="0B595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425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软件功能：</w:t>
            </w:r>
          </w:p>
          <w:p w14:paraId="717819AD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15.1、景深扩展功能，可实现超景深拍摄、大图拼接功能，实现超大视野拍摄、多通道叠加功能，实现多个通道图像叠加。</w:t>
            </w:r>
          </w:p>
          <w:p w14:paraId="615F695E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15.2、视频拍摄功能。</w:t>
            </w:r>
          </w:p>
          <w:p w14:paraId="16DC6E98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15.3、可以进行交互式测量，包括面积，间距，周长，灰度值，角度等。</w:t>
            </w:r>
          </w:p>
          <w:p w14:paraId="616E97D7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15.4、可同时进行多幅图像的对比，可以阵列预览，可以通道预览，可以2.5D图像预览。</w:t>
            </w:r>
          </w:p>
          <w:p w14:paraId="20DA4941">
            <w:pPr>
              <w:keepNext w:val="0"/>
              <w:keepLines w:val="0"/>
              <w:pageBreakBefore w:val="0"/>
              <w:widowControl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15.5、支持bmp, tif, jpg, gif, tga, png, j2k, jp2, mac, msp, ras, pct, eps, wmf, psd, img, cmp, zvi, lsm, czi等格式图像输入。支持bmp, jpg, tif, tga, png, psd, cmp, avi, lsm, mov, j2k, jp2, pcx, tga, wmf, pcf等格式图像输出。</w:t>
            </w:r>
          </w:p>
          <w:p w14:paraId="610069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" w:after="25" w:line="48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15.6、高分辨率软件功能，有效提升图像效果。</w:t>
            </w:r>
          </w:p>
          <w:p w14:paraId="0A5B10C7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供货时间要求：</w:t>
            </w:r>
          </w:p>
          <w:p w14:paraId="5B811D3C">
            <w:pPr>
              <w:pStyle w:val="2"/>
              <w:ind w:firstLine="420" w:firstLineChars="200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3个月内。</w:t>
            </w:r>
          </w:p>
          <w:p w14:paraId="1ED876E5">
            <w:pPr>
              <w:pStyle w:val="2"/>
              <w:rPr>
                <w:rFonts w:hint="default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  <w:lang w:val="en-US" w:eastAsia="zh-CN"/>
              </w:rPr>
              <w:t>质保售后要求：</w:t>
            </w:r>
          </w:p>
          <w:p w14:paraId="79413E94">
            <w:pPr>
              <w:tabs>
                <w:tab w:val="left" w:pos="851"/>
              </w:tabs>
              <w:spacing w:line="360" w:lineRule="auto"/>
              <w:ind w:firstLine="420" w:firstLineChars="200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免费质保不少于一年。</w:t>
            </w:r>
          </w:p>
          <w:p w14:paraId="4E2A2211">
            <w:pPr>
              <w:pStyle w:val="2"/>
              <w:tabs>
                <w:tab w:val="left" w:pos="1675"/>
              </w:tabs>
              <w:spacing w:line="440" w:lineRule="exact"/>
              <w:rPr>
                <w:rFonts w:hint="eastAsia" w:ascii="宋体" w:hAnsi="宋体" w:eastAsia="宋体"/>
                <w:lang w:eastAsia="zh-CN"/>
              </w:rPr>
            </w:pPr>
          </w:p>
          <w:p w14:paraId="6B67E5F2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4D50C4F9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29A1F131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59D881BC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4B56F8A7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50CAC551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6738D6DD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3AC03E4B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496A7B8C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78E94915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2DFACBB4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234812CB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6C399928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349795FC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70A9FAE1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</w:p>
          <w:p w14:paraId="08ACAEE6">
            <w:pPr>
              <w:pStyle w:val="2"/>
              <w:spacing w:line="440" w:lineRule="exact"/>
              <w:rPr>
                <w:rFonts w:hint="eastAsia" w:ascii="宋体" w:hAnsi="宋体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lang w:val="en-US" w:eastAsia="zh-CN"/>
              </w:rPr>
              <w:t>本部门承诺，该参数无明显倾向性。</w:t>
            </w:r>
          </w:p>
          <w:p w14:paraId="7C7F5195">
            <w:pPr>
              <w:pStyle w:val="2"/>
              <w:spacing w:line="440" w:lineRule="exact"/>
              <w:rPr>
                <w:rFonts w:hint="eastAsia" w:ascii="宋体" w:hAnsi="宋体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                              签字（盖章）：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    </w:t>
            </w:r>
          </w:p>
          <w:p w14:paraId="36BBE3F0">
            <w:pPr>
              <w:pStyle w:val="2"/>
              <w:spacing w:line="440" w:lineRule="exact"/>
              <w:rPr>
                <w:rFonts w:hint="eastAsia" w:ascii="宋体" w:hAnsi="宋体" w:eastAsia="宋体"/>
                <w:u w:val="single"/>
                <w:lang w:val="en-US" w:eastAsia="zh-CN"/>
              </w:rPr>
            </w:pPr>
          </w:p>
          <w:p w14:paraId="3BAA6503">
            <w:pPr>
              <w:pStyle w:val="2"/>
              <w:spacing w:line="440" w:lineRule="exact"/>
              <w:rPr>
                <w:rFonts w:hint="eastAsia" w:ascii="宋体" w:hAnsi="宋体" w:eastAsia="宋体"/>
                <w:u w:val="single"/>
                <w:lang w:val="en-US" w:eastAsia="zh-CN"/>
              </w:rPr>
            </w:pPr>
          </w:p>
          <w:p w14:paraId="77BC1804">
            <w:pPr>
              <w:pStyle w:val="2"/>
              <w:spacing w:line="440" w:lineRule="exact"/>
              <w:rPr>
                <w:rFonts w:hint="default" w:ascii="宋体" w:hAnsi="宋体" w:eastAsia="宋体"/>
                <w:u w:val="single"/>
                <w:lang w:val="en-US" w:eastAsia="zh-CN"/>
              </w:rPr>
            </w:pPr>
          </w:p>
        </w:tc>
      </w:tr>
    </w:tbl>
    <w:p w14:paraId="724CED7D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089DE"/>
    <w:multiLevelType w:val="singleLevel"/>
    <w:tmpl w:val="8D6089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5810DF6"/>
    <w:multiLevelType w:val="singleLevel"/>
    <w:tmpl w:val="C5810D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2249D2"/>
    <w:rsid w:val="002403C3"/>
    <w:rsid w:val="0027271D"/>
    <w:rsid w:val="003372BD"/>
    <w:rsid w:val="003A2F42"/>
    <w:rsid w:val="00400758"/>
    <w:rsid w:val="00427180"/>
    <w:rsid w:val="00454E0F"/>
    <w:rsid w:val="0068033E"/>
    <w:rsid w:val="007C0E4C"/>
    <w:rsid w:val="0085369C"/>
    <w:rsid w:val="00870D73"/>
    <w:rsid w:val="008909D1"/>
    <w:rsid w:val="0090221E"/>
    <w:rsid w:val="009917FC"/>
    <w:rsid w:val="009B4A4B"/>
    <w:rsid w:val="00A44303"/>
    <w:rsid w:val="00A7772A"/>
    <w:rsid w:val="00B02A13"/>
    <w:rsid w:val="00B31CA1"/>
    <w:rsid w:val="00B50722"/>
    <w:rsid w:val="00B67485"/>
    <w:rsid w:val="00BB297B"/>
    <w:rsid w:val="00C65EBB"/>
    <w:rsid w:val="00CC005D"/>
    <w:rsid w:val="00D000B2"/>
    <w:rsid w:val="00D1460F"/>
    <w:rsid w:val="00D210BB"/>
    <w:rsid w:val="00D224C8"/>
    <w:rsid w:val="00E60A04"/>
    <w:rsid w:val="00E9242E"/>
    <w:rsid w:val="00F06A8F"/>
    <w:rsid w:val="00F85F45"/>
    <w:rsid w:val="00FE49C2"/>
    <w:rsid w:val="03C836F9"/>
    <w:rsid w:val="0E937795"/>
    <w:rsid w:val="10F03C35"/>
    <w:rsid w:val="3437146E"/>
    <w:rsid w:val="346D5E8F"/>
    <w:rsid w:val="36FB1B13"/>
    <w:rsid w:val="4D5910C0"/>
    <w:rsid w:val="5F520EAD"/>
    <w:rsid w:val="65DE6CC0"/>
    <w:rsid w:val="68D128E1"/>
    <w:rsid w:val="6B547DCC"/>
    <w:rsid w:val="7B36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3</Pages>
  <Words>946</Words>
  <Characters>1166</Characters>
  <Lines>13</Lines>
  <Paragraphs>3</Paragraphs>
  <TotalTime>14</TotalTime>
  <ScaleCrop>false</ScaleCrop>
  <LinksUpToDate>false</LinksUpToDate>
  <CharactersWithSpaces>1254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2024-12-24T08:55:01Z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728332E6DBFA44DF9A107248894FB6D9_13</vt:lpwstr>
  </property>
</Properties>
</file>