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8634" w14:textId="77777777" w:rsidR="00FB117E" w:rsidRDefault="007B140E">
      <w:pPr>
        <w:spacing w:line="520" w:lineRule="exact"/>
        <w:jc w:val="center"/>
        <w:rPr>
          <w:rFonts w:asciiTheme="minorEastAsia" w:hAnsiTheme="minorEastAsia" w:cstheme="minorEastAsia" w:hint="eastAsia"/>
          <w:b/>
          <w:bCs/>
          <w:sz w:val="32"/>
          <w:szCs w:val="32"/>
        </w:rPr>
      </w:pPr>
      <w:r>
        <w:rPr>
          <w:rFonts w:asciiTheme="minorEastAsia" w:hAnsiTheme="minorEastAsia" w:cstheme="minorEastAsia" w:hint="eastAsia"/>
          <w:b/>
          <w:bCs/>
          <w:sz w:val="32"/>
          <w:szCs w:val="32"/>
        </w:rPr>
        <w:t>资产评估委托合同</w:t>
      </w:r>
    </w:p>
    <w:p w14:paraId="1C69908F" w14:textId="77777777" w:rsidR="00FB117E" w:rsidRDefault="00FB117E">
      <w:pPr>
        <w:pStyle w:val="-"/>
        <w:spacing w:line="500" w:lineRule="exact"/>
        <w:ind w:firstLineChars="0" w:firstLine="0"/>
        <w:rPr>
          <w:rFonts w:asciiTheme="minorEastAsia" w:eastAsiaTheme="minorEastAsia" w:hAnsiTheme="minorEastAsia" w:cstheme="minorEastAsia" w:hint="eastAsia"/>
          <w:sz w:val="24"/>
          <w:szCs w:val="24"/>
        </w:rPr>
      </w:pPr>
    </w:p>
    <w:p w14:paraId="00C086DC" w14:textId="77777777"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委托方名称（以下简称甲方）：南京中医药大学</w:t>
      </w:r>
    </w:p>
    <w:p w14:paraId="4F6A709C" w14:textId="2F64AC44" w:rsidR="00FB117E" w:rsidRDefault="007B140E">
      <w:pPr>
        <w:pStyle w:val="-"/>
        <w:spacing w:line="500" w:lineRule="exact"/>
        <w:ind w:left="3360" w:hangingChars="1400" w:hanging="3360"/>
        <w:rPr>
          <w:rFonts w:ascii="Times New Roman" w:eastAsia="方正仿宋_GBK" w:hAnsi="Times New Roman" w:cs="Times New Roman"/>
          <w:sz w:val="24"/>
          <w:szCs w:val="24"/>
          <w:u w:val="single"/>
        </w:rPr>
      </w:pPr>
      <w:r>
        <w:rPr>
          <w:rFonts w:ascii="Times New Roman" w:eastAsia="方正仿宋_GBK" w:hAnsi="Times New Roman" w:cs="Times New Roman"/>
          <w:sz w:val="24"/>
          <w:szCs w:val="24"/>
        </w:rPr>
        <w:t>受托方名称（以下简称乙方）：</w:t>
      </w:r>
    </w:p>
    <w:p w14:paraId="77AFC92C"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甲方委托乙方对南京中医药大学所申报的报废资产进行评估，为委托方</w:t>
      </w:r>
      <w:proofErr w:type="gramStart"/>
      <w:r>
        <w:rPr>
          <w:rFonts w:ascii="Times New Roman" w:eastAsia="方正仿宋_GBK" w:hAnsi="Times New Roman" w:cs="Times New Roman"/>
          <w:sz w:val="24"/>
          <w:szCs w:val="24"/>
        </w:rPr>
        <w:t>拟资产</w:t>
      </w:r>
      <w:proofErr w:type="gramEnd"/>
      <w:r>
        <w:rPr>
          <w:rFonts w:ascii="Times New Roman" w:eastAsia="方正仿宋_GBK" w:hAnsi="Times New Roman" w:cs="Times New Roman"/>
          <w:sz w:val="24"/>
          <w:szCs w:val="24"/>
        </w:rPr>
        <w:t>处置所涉及的报废资产提供残余价值参考。乙方同意接受甲方委托，经协商，双方将遵照国家有关法律规定，订立本合同。</w:t>
      </w:r>
    </w:p>
    <w:p w14:paraId="49BC0197" w14:textId="77777777"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一、评估目的：</w:t>
      </w:r>
    </w:p>
    <w:p w14:paraId="145902C7" w14:textId="77777777" w:rsidR="00FB117E" w:rsidRDefault="007B140E">
      <w:pPr>
        <w:pStyle w:val="-"/>
        <w:spacing w:line="500" w:lineRule="exact"/>
        <w:ind w:firstLineChars="0"/>
        <w:rPr>
          <w:rFonts w:ascii="Times New Roman" w:eastAsia="方正仿宋_GBK" w:hAnsi="Times New Roman" w:cs="Times New Roman"/>
          <w:sz w:val="24"/>
          <w:szCs w:val="24"/>
        </w:rPr>
      </w:pPr>
      <w:r>
        <w:rPr>
          <w:rFonts w:ascii="Times New Roman" w:eastAsia="方正仿宋_GBK" w:hAnsi="Times New Roman" w:cs="Times New Roman"/>
          <w:sz w:val="24"/>
          <w:szCs w:val="24"/>
        </w:rPr>
        <w:t>为南京中医药大学</w:t>
      </w:r>
      <w:proofErr w:type="gramStart"/>
      <w:r>
        <w:rPr>
          <w:rFonts w:ascii="Times New Roman" w:eastAsia="方正仿宋_GBK" w:hAnsi="Times New Roman" w:cs="Times New Roman"/>
          <w:sz w:val="24"/>
          <w:szCs w:val="24"/>
        </w:rPr>
        <w:t>拟资产</w:t>
      </w:r>
      <w:proofErr w:type="gramEnd"/>
      <w:r>
        <w:rPr>
          <w:rFonts w:ascii="Times New Roman" w:eastAsia="方正仿宋_GBK" w:hAnsi="Times New Roman" w:cs="Times New Roman"/>
          <w:sz w:val="24"/>
          <w:szCs w:val="24"/>
        </w:rPr>
        <w:t>处置所涉及的报废资产提供残余价值参考。</w:t>
      </w:r>
    </w:p>
    <w:p w14:paraId="0F317CD4" w14:textId="77777777" w:rsidR="00FB117E" w:rsidRDefault="007B140E">
      <w:pPr>
        <w:pStyle w:val="-"/>
        <w:numPr>
          <w:ilvl w:val="0"/>
          <w:numId w:val="1"/>
        </w:numPr>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评估对象与评估范围：</w:t>
      </w:r>
    </w:p>
    <w:p w14:paraId="01C3DE51" w14:textId="77777777" w:rsidR="00FB117E" w:rsidRDefault="007B140E">
      <w:pPr>
        <w:pStyle w:val="zw"/>
        <w:snapToGrid w:val="0"/>
        <w:spacing w:line="440" w:lineRule="exact"/>
        <w:ind w:firstLineChars="200" w:firstLine="480"/>
        <w:rPr>
          <w:rFonts w:ascii="Times New Roman" w:eastAsia="方正仿宋_GBK" w:hAnsi="Times New Roman" w:cs="Times New Roman"/>
          <w:bCs/>
          <w:color w:val="FF0000"/>
          <w:kern w:val="2"/>
          <w:szCs w:val="24"/>
        </w:rPr>
      </w:pPr>
      <w:r>
        <w:rPr>
          <w:rFonts w:ascii="Times New Roman" w:eastAsia="方正仿宋_GBK" w:hAnsi="Times New Roman" w:cs="Times New Roman"/>
          <w:bCs/>
          <w:kern w:val="2"/>
          <w:szCs w:val="24"/>
        </w:rPr>
        <w:t>评估对象：</w:t>
      </w:r>
      <w:r>
        <w:rPr>
          <w:rFonts w:ascii="Times New Roman" w:eastAsia="方正仿宋_GBK" w:hAnsi="Times New Roman" w:cs="Times New Roman"/>
        </w:rPr>
        <w:t>南京中医药大学所申报的报废资产</w:t>
      </w:r>
      <w:r w:rsidRPr="00872457">
        <w:rPr>
          <w:rFonts w:ascii="Times New Roman" w:eastAsia="方正仿宋_GBK" w:hAnsi="Times New Roman" w:cs="Times New Roman"/>
        </w:rPr>
        <w:t>，包括：</w:t>
      </w:r>
    </w:p>
    <w:p w14:paraId="4423EA85" w14:textId="6B39471A" w:rsidR="00FB117E" w:rsidRDefault="00241819" w:rsidP="00241819">
      <w:pPr>
        <w:pStyle w:val="zw"/>
        <w:snapToGrid w:val="0"/>
        <w:spacing w:line="440" w:lineRule="exact"/>
        <w:ind w:firstLine="480"/>
        <w:rPr>
          <w:rFonts w:ascii="Times New Roman" w:eastAsia="方正仿宋_GBK" w:hAnsi="Times New Roman" w:cs="Times New Roman"/>
          <w:bCs/>
          <w:color w:val="FF0000"/>
          <w:kern w:val="2"/>
          <w:szCs w:val="24"/>
        </w:rPr>
      </w:pPr>
      <w:r w:rsidRPr="00241819">
        <w:rPr>
          <w:rFonts w:ascii="Times New Roman" w:eastAsia="方正仿宋_GBK" w:hAnsi="Times New Roman" w:cs="Times New Roman" w:hint="eastAsia"/>
          <w:bCs/>
          <w:color w:val="FF0000"/>
          <w:kern w:val="2"/>
          <w:szCs w:val="24"/>
        </w:rPr>
        <w:t>B7</w:t>
      </w:r>
      <w:r w:rsidRPr="00241819">
        <w:rPr>
          <w:rFonts w:ascii="Times New Roman" w:eastAsia="方正仿宋_GBK" w:hAnsi="Times New Roman" w:cs="Times New Roman" w:hint="eastAsia"/>
          <w:bCs/>
          <w:color w:val="FF0000"/>
          <w:kern w:val="2"/>
          <w:szCs w:val="24"/>
        </w:rPr>
        <w:t>库房等处的一批原值</w:t>
      </w:r>
      <w:r w:rsidRPr="00241819">
        <w:rPr>
          <w:rFonts w:ascii="Times New Roman" w:eastAsia="方正仿宋_GBK" w:hAnsi="Times New Roman" w:cs="Times New Roman" w:hint="eastAsia"/>
          <w:bCs/>
          <w:color w:val="FF0000"/>
          <w:kern w:val="2"/>
          <w:szCs w:val="24"/>
        </w:rPr>
        <w:t>14,487,910.31</w:t>
      </w:r>
      <w:r w:rsidRPr="00241819">
        <w:rPr>
          <w:rFonts w:ascii="Times New Roman" w:eastAsia="方正仿宋_GBK" w:hAnsi="Times New Roman" w:cs="Times New Roman" w:hint="eastAsia"/>
          <w:bCs/>
          <w:color w:val="FF0000"/>
          <w:kern w:val="2"/>
          <w:szCs w:val="24"/>
        </w:rPr>
        <w:t>元的报废</w:t>
      </w:r>
      <w:r>
        <w:rPr>
          <w:rFonts w:ascii="Times New Roman" w:eastAsia="方正仿宋_GBK" w:hAnsi="Times New Roman" w:cs="Times New Roman" w:hint="eastAsia"/>
          <w:bCs/>
          <w:color w:val="FF0000"/>
          <w:kern w:val="2"/>
          <w:szCs w:val="24"/>
        </w:rPr>
        <w:t>资产及</w:t>
      </w:r>
      <w:r w:rsidRPr="00241819">
        <w:rPr>
          <w:rFonts w:ascii="Times New Roman" w:eastAsia="方正仿宋_GBK" w:hAnsi="Times New Roman" w:cs="Times New Roman" w:hint="eastAsia"/>
          <w:bCs/>
          <w:color w:val="FF0000"/>
          <w:kern w:val="2"/>
          <w:szCs w:val="24"/>
        </w:rPr>
        <w:t>部分</w:t>
      </w:r>
      <w:r>
        <w:rPr>
          <w:rFonts w:ascii="Times New Roman" w:eastAsia="方正仿宋_GBK" w:hAnsi="Times New Roman" w:cs="Times New Roman" w:hint="eastAsia"/>
          <w:bCs/>
          <w:color w:val="FF0000"/>
          <w:kern w:val="2"/>
          <w:szCs w:val="24"/>
        </w:rPr>
        <w:t>已报废的</w:t>
      </w:r>
      <w:r w:rsidRPr="00241819">
        <w:rPr>
          <w:rFonts w:ascii="Times New Roman" w:eastAsia="方正仿宋_GBK" w:hAnsi="Times New Roman" w:cs="Times New Roman" w:hint="eastAsia"/>
          <w:bCs/>
          <w:color w:val="FF0000"/>
          <w:kern w:val="2"/>
          <w:szCs w:val="24"/>
        </w:rPr>
        <w:t>不构成单独资产的配件，</w:t>
      </w:r>
    </w:p>
    <w:p w14:paraId="6B3887D4" w14:textId="77777777" w:rsidR="00FB117E" w:rsidRDefault="007B140E">
      <w:pPr>
        <w:pStyle w:val="zw"/>
        <w:snapToGrid w:val="0"/>
        <w:spacing w:line="440" w:lineRule="exact"/>
        <w:ind w:firstLineChars="200" w:firstLine="480"/>
        <w:rPr>
          <w:rFonts w:ascii="Times New Roman" w:eastAsia="方正仿宋_GBK" w:hAnsi="Times New Roman" w:cs="Times New Roman"/>
          <w:bCs/>
          <w:szCs w:val="24"/>
        </w:rPr>
      </w:pPr>
      <w:r>
        <w:rPr>
          <w:rFonts w:ascii="Times New Roman" w:eastAsia="方正仿宋_GBK" w:hAnsi="Times New Roman" w:cs="Times New Roman"/>
          <w:bCs/>
          <w:kern w:val="2"/>
          <w:szCs w:val="24"/>
        </w:rPr>
        <w:t>评估范围：南京中医药大学所申报的报废资产，主要包括家具、设备等，具体以评估申报明细表为准。评估基准日时资产已报废，资产购置时间较早。</w:t>
      </w:r>
    </w:p>
    <w:p w14:paraId="595330A4" w14:textId="62520015"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三、评估基准日：</w:t>
      </w:r>
      <w:r>
        <w:rPr>
          <w:rFonts w:ascii="Times New Roman" w:eastAsia="方正仿宋_GBK" w:hAnsi="Times New Roman" w:cs="Times New Roman"/>
          <w:sz w:val="24"/>
          <w:szCs w:val="24"/>
        </w:rPr>
        <w:t>202</w:t>
      </w:r>
      <w:r w:rsidR="00241819">
        <w:rPr>
          <w:rFonts w:ascii="Times New Roman" w:eastAsia="方正仿宋_GBK" w:hAnsi="Times New Roman" w:cs="Times New Roman" w:hint="eastAsia"/>
          <w:sz w:val="24"/>
          <w:szCs w:val="24"/>
        </w:rPr>
        <w:t>6</w:t>
      </w:r>
      <w:r>
        <w:rPr>
          <w:rFonts w:ascii="Times New Roman" w:eastAsia="方正仿宋_GBK" w:hAnsi="Times New Roman" w:cs="Times New Roman"/>
          <w:sz w:val="24"/>
          <w:szCs w:val="24"/>
        </w:rPr>
        <w:t>年</w:t>
      </w:r>
      <w:r w:rsidR="00241819">
        <w:rPr>
          <w:rFonts w:ascii="Times New Roman" w:eastAsia="方正仿宋_GBK" w:hAnsi="Times New Roman" w:cs="Times New Roman" w:hint="eastAsia"/>
          <w:sz w:val="24"/>
          <w:szCs w:val="24"/>
        </w:rPr>
        <w:t>3</w:t>
      </w:r>
      <w:r w:rsidR="00241819">
        <w:rPr>
          <w:rFonts w:ascii="Times New Roman" w:eastAsia="方正仿宋_GBK" w:hAnsi="Times New Roman" w:cs="Times New Roman" w:hint="eastAsia"/>
          <w:sz w:val="24"/>
          <w:szCs w:val="24"/>
        </w:rPr>
        <w:t>月</w:t>
      </w:r>
      <w:r w:rsidR="00241819">
        <w:rPr>
          <w:rFonts w:ascii="Times New Roman" w:eastAsia="方正仿宋_GBK" w:hAnsi="Times New Roman" w:cs="Times New Roman" w:hint="eastAsia"/>
          <w:sz w:val="24"/>
          <w:szCs w:val="24"/>
        </w:rPr>
        <w:t>17</w:t>
      </w:r>
      <w:r w:rsidR="00241819">
        <w:rPr>
          <w:rFonts w:ascii="Times New Roman" w:eastAsia="方正仿宋_GBK" w:hAnsi="Times New Roman" w:cs="Times New Roman" w:hint="eastAsia"/>
          <w:sz w:val="24"/>
          <w:szCs w:val="24"/>
        </w:rPr>
        <w:t>日</w:t>
      </w:r>
      <w:r>
        <w:rPr>
          <w:rFonts w:ascii="Times New Roman" w:eastAsia="方正仿宋_GBK" w:hAnsi="Times New Roman" w:cs="Times New Roman"/>
          <w:sz w:val="24"/>
          <w:szCs w:val="24"/>
        </w:rPr>
        <w:t>。</w:t>
      </w:r>
    </w:p>
    <w:p w14:paraId="5B9C3B89" w14:textId="77777777" w:rsidR="00FB117E" w:rsidRDefault="007B140E">
      <w:pPr>
        <w:pStyle w:val="-"/>
        <w:spacing w:line="500" w:lineRule="exact"/>
        <w:ind w:firstLineChars="0" w:firstLine="0"/>
        <w:rPr>
          <w:rFonts w:ascii="Times New Roman" w:eastAsia="方正仿宋_GBK" w:hAnsi="Times New Roman" w:cs="Times New Roman"/>
        </w:rPr>
      </w:pPr>
      <w:r>
        <w:rPr>
          <w:rFonts w:ascii="Times New Roman" w:eastAsia="方正仿宋_GBK" w:hAnsi="Times New Roman" w:cs="Times New Roman"/>
          <w:sz w:val="24"/>
          <w:szCs w:val="24"/>
        </w:rPr>
        <w:t>四、价值类型：残余价值。</w:t>
      </w:r>
    </w:p>
    <w:p w14:paraId="42225863" w14:textId="77777777" w:rsidR="00FB117E" w:rsidRDefault="007B140E">
      <w:pPr>
        <w:pStyle w:val="-"/>
        <w:tabs>
          <w:tab w:val="left" w:pos="3451"/>
        </w:tabs>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五、评估现场工作时间：</w:t>
      </w:r>
    </w:p>
    <w:p w14:paraId="0DE10446"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评估现场勘察的工作时间为</w:t>
      </w: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个工作日。</w:t>
      </w:r>
    </w:p>
    <w:p w14:paraId="34E65315"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上述工作时间未考虑因委托方或被评估单位准备时间延长带来的影响，若因委托方或被评估单位原因或不可抗力因素需要延长完成评估工作，甲、乙双方需另行协商。</w:t>
      </w:r>
    </w:p>
    <w:p w14:paraId="12252DAF" w14:textId="77777777"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六、评估报告提交时间及方式：</w:t>
      </w:r>
    </w:p>
    <w:p w14:paraId="503EDF4F" w14:textId="4B517A84" w:rsidR="00FB117E" w:rsidRDefault="007B140E">
      <w:pPr>
        <w:pStyle w:val="-"/>
        <w:spacing w:line="500" w:lineRule="exact"/>
        <w:ind w:firstLine="480"/>
        <w:rPr>
          <w:rFonts w:ascii="Times New Roman" w:eastAsia="方正仿宋_GBK" w:hAnsi="Times New Roman" w:cs="Times New Roman"/>
          <w:color w:val="FF0000"/>
          <w:sz w:val="24"/>
          <w:szCs w:val="24"/>
        </w:rPr>
      </w:pPr>
      <w:r>
        <w:rPr>
          <w:rFonts w:ascii="Times New Roman" w:eastAsia="方正仿宋_GBK" w:hAnsi="Times New Roman" w:cs="Times New Roman"/>
          <w:sz w:val="24"/>
          <w:szCs w:val="24"/>
        </w:rPr>
        <w:t>甲、乙双方初步约定评估报告初稿提交时间为现场勘察后</w:t>
      </w:r>
      <w:r>
        <w:rPr>
          <w:rFonts w:ascii="Times New Roman" w:eastAsia="方正仿宋_GBK" w:hAnsi="Times New Roman" w:cs="Times New Roman"/>
          <w:color w:val="FF0000"/>
          <w:sz w:val="24"/>
          <w:szCs w:val="24"/>
        </w:rPr>
        <w:t>5</w:t>
      </w:r>
      <w:r>
        <w:rPr>
          <w:rFonts w:ascii="Times New Roman" w:eastAsia="方正仿宋_GBK" w:hAnsi="Times New Roman" w:cs="Times New Roman"/>
          <w:sz w:val="24"/>
          <w:szCs w:val="24"/>
        </w:rPr>
        <w:t>个工作日，因委托方或被评估单位因不可抗力因素需要延长提交报告时间的，由甲、乙双方另行协商</w:t>
      </w:r>
      <w:r>
        <w:rPr>
          <w:rFonts w:ascii="Times New Roman" w:eastAsia="方正仿宋_GBK" w:hAnsi="Times New Roman" w:cs="Times New Roman"/>
          <w:color w:val="FF0000"/>
          <w:sz w:val="24"/>
          <w:szCs w:val="24"/>
        </w:rPr>
        <w:t>；甲方确认</w:t>
      </w:r>
      <w:r>
        <w:rPr>
          <w:rFonts w:ascii="Times New Roman" w:eastAsia="方正仿宋_GBK" w:hAnsi="Times New Roman" w:cs="Times New Roman" w:hint="eastAsia"/>
          <w:color w:val="FF0000"/>
          <w:sz w:val="24"/>
          <w:szCs w:val="24"/>
        </w:rPr>
        <w:t>评估报告初稿</w:t>
      </w:r>
      <w:r>
        <w:rPr>
          <w:rFonts w:ascii="Times New Roman" w:eastAsia="方正仿宋_GBK" w:hAnsi="Times New Roman" w:cs="Times New Roman"/>
          <w:color w:val="FF0000"/>
          <w:sz w:val="24"/>
          <w:szCs w:val="24"/>
        </w:rPr>
        <w:t>后无误后，乙方</w:t>
      </w:r>
      <w:r>
        <w:rPr>
          <w:rFonts w:ascii="Times New Roman" w:eastAsia="方正仿宋_GBK" w:hAnsi="Times New Roman" w:cs="Times New Roman" w:hint="eastAsia"/>
          <w:color w:val="FF0000"/>
          <w:sz w:val="24"/>
          <w:szCs w:val="24"/>
        </w:rPr>
        <w:t>按甲方书面确认的评估报告初稿</w:t>
      </w:r>
      <w:r>
        <w:rPr>
          <w:rFonts w:ascii="Times New Roman" w:eastAsia="方正仿宋_GBK" w:hAnsi="Times New Roman" w:cs="Times New Roman"/>
          <w:color w:val="FF0000"/>
          <w:sz w:val="24"/>
          <w:szCs w:val="24"/>
        </w:rPr>
        <w:t>向甲方提供正式评估报告。</w:t>
      </w:r>
      <w:r>
        <w:rPr>
          <w:rFonts w:ascii="Times New Roman" w:eastAsia="方正仿宋_GBK" w:hAnsi="Times New Roman" w:cs="Times New Roman" w:hint="eastAsia"/>
          <w:color w:val="FF0000"/>
          <w:sz w:val="24"/>
          <w:szCs w:val="24"/>
        </w:rPr>
        <w:t>如评估报告初稿不符合甲方要求，乙方须配合甲方修改，直至甲方书面验收合格，正式评估报告以甲方</w:t>
      </w:r>
      <w:r w:rsidR="00241819">
        <w:rPr>
          <w:rFonts w:ascii="Times New Roman" w:eastAsia="方正仿宋_GBK" w:hAnsi="Times New Roman" w:cs="Times New Roman" w:hint="eastAsia"/>
          <w:color w:val="FF0000"/>
          <w:sz w:val="24"/>
          <w:szCs w:val="24"/>
        </w:rPr>
        <w:t>确认</w:t>
      </w:r>
      <w:r>
        <w:rPr>
          <w:rFonts w:ascii="Times New Roman" w:eastAsia="方正仿宋_GBK" w:hAnsi="Times New Roman" w:cs="Times New Roman" w:hint="eastAsia"/>
          <w:color w:val="FF0000"/>
          <w:sz w:val="24"/>
          <w:szCs w:val="24"/>
        </w:rPr>
        <w:t>的评估报告初稿为准，如相关法规、政策要求变化，乙方可根据甲方要求进行相应修改调整。</w:t>
      </w:r>
    </w:p>
    <w:p w14:paraId="1980527F"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评估报告提交方式为：书面报告。</w:t>
      </w:r>
    </w:p>
    <w:p w14:paraId="4385CC79" w14:textId="77777777"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七、评估服务费总额、支付时间及方式：</w:t>
      </w:r>
    </w:p>
    <w:p w14:paraId="41CAA3AE" w14:textId="030CCB44"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评估服务费金额：本项目评估收费金额为：</w:t>
      </w:r>
      <w:r w:rsidR="00241819" w:rsidRPr="00241819">
        <w:rPr>
          <w:rFonts w:ascii="Times New Roman" w:eastAsia="方正仿宋_GBK" w:hAnsi="Times New Roman" w:cs="Times New Roman" w:hint="eastAsia"/>
          <w:color w:val="FF0000"/>
          <w:sz w:val="24"/>
          <w:szCs w:val="24"/>
          <w:u w:val="single"/>
        </w:rPr>
        <w:t xml:space="preserve">     </w:t>
      </w:r>
      <w:r w:rsidRPr="00241819">
        <w:rPr>
          <w:rFonts w:ascii="Times New Roman" w:eastAsia="方正仿宋_GBK" w:hAnsi="Times New Roman" w:cs="Times New Roman"/>
          <w:color w:val="FF0000"/>
          <w:sz w:val="24"/>
          <w:szCs w:val="24"/>
        </w:rPr>
        <w:t>元</w:t>
      </w:r>
      <w:r>
        <w:rPr>
          <w:rFonts w:ascii="Times New Roman" w:eastAsia="方正仿宋_GBK" w:hAnsi="Times New Roman" w:cs="Times New Roman"/>
          <w:sz w:val="24"/>
          <w:szCs w:val="24"/>
        </w:rPr>
        <w:t>。</w:t>
      </w:r>
      <w:r w:rsidRPr="00241819">
        <w:rPr>
          <w:rFonts w:ascii="Times New Roman" w:eastAsia="方正仿宋_GBK" w:hAnsi="Times New Roman" w:cs="Times New Roman"/>
          <w:sz w:val="24"/>
          <w:szCs w:val="24"/>
        </w:rPr>
        <w:t>大写</w:t>
      </w:r>
      <w:r w:rsidRPr="00241819">
        <w:rPr>
          <w:rFonts w:ascii="Times New Roman" w:eastAsia="方正仿宋_GBK" w:hAnsi="Times New Roman" w:cs="Times New Roman"/>
          <w:color w:val="FF0000"/>
          <w:sz w:val="24"/>
          <w:szCs w:val="24"/>
        </w:rPr>
        <w:t>：</w:t>
      </w:r>
      <w:r w:rsidR="00241819" w:rsidRPr="00241819">
        <w:rPr>
          <w:rFonts w:ascii="Times New Roman" w:eastAsia="方正仿宋_GBK" w:hAnsi="Times New Roman" w:cs="Times New Roman" w:hint="eastAsia"/>
          <w:color w:val="FF0000"/>
          <w:sz w:val="24"/>
          <w:szCs w:val="24"/>
          <w:u w:val="single"/>
        </w:rPr>
        <w:t xml:space="preserve">        </w:t>
      </w:r>
      <w:r>
        <w:rPr>
          <w:rFonts w:ascii="Times New Roman" w:eastAsia="方正仿宋_GBK" w:hAnsi="Times New Roman" w:cs="Times New Roman"/>
          <w:sz w:val="24"/>
          <w:szCs w:val="24"/>
        </w:rPr>
        <w:t>。</w:t>
      </w:r>
    </w:p>
    <w:p w14:paraId="2D657C26" w14:textId="54433414"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评估服务费支付时间：</w:t>
      </w:r>
      <w:r w:rsidR="00241819">
        <w:rPr>
          <w:rFonts w:ascii="Times New Roman" w:eastAsia="方正仿宋_GBK" w:hAnsi="Times New Roman" w:cs="Times New Roman" w:hint="eastAsia"/>
          <w:sz w:val="24"/>
          <w:szCs w:val="24"/>
        </w:rPr>
        <w:t>甲方在收到乙方提供的正式评估报告后十个工作日内一次性支付评估费用</w:t>
      </w:r>
      <w:r>
        <w:rPr>
          <w:rFonts w:ascii="Times New Roman" w:eastAsia="方正仿宋_GBK" w:hAnsi="Times New Roman" w:cs="Times New Roman"/>
          <w:sz w:val="24"/>
          <w:szCs w:val="24"/>
        </w:rPr>
        <w:t>。。</w:t>
      </w:r>
    </w:p>
    <w:p w14:paraId="2A012E4F"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评估服务费支付方式：银行转账</w:t>
      </w:r>
    </w:p>
    <w:p w14:paraId="7DF93850" w14:textId="5CFF7D2B"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乙方账户名称：</w:t>
      </w:r>
      <w:r w:rsidR="00241819">
        <w:rPr>
          <w:rFonts w:ascii="Times New Roman" w:eastAsia="方正仿宋_GBK" w:hAnsi="Times New Roman" w:cs="Times New Roman"/>
          <w:sz w:val="24"/>
          <w:szCs w:val="24"/>
        </w:rPr>
        <w:t xml:space="preserve"> </w:t>
      </w:r>
    </w:p>
    <w:p w14:paraId="16CDC1A5" w14:textId="369A93BA"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开户银行：</w:t>
      </w:r>
      <w:r w:rsidR="00241819">
        <w:rPr>
          <w:rFonts w:ascii="Times New Roman" w:eastAsia="方正仿宋_GBK" w:hAnsi="Times New Roman" w:cs="Times New Roman"/>
          <w:sz w:val="24"/>
          <w:szCs w:val="24"/>
        </w:rPr>
        <w:t xml:space="preserve"> </w:t>
      </w:r>
    </w:p>
    <w:p w14:paraId="6BB69B89" w14:textId="6322214F"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账号：</w:t>
      </w:r>
    </w:p>
    <w:p w14:paraId="36B9CD00" w14:textId="77777777" w:rsidR="00FB117E" w:rsidRDefault="007B140E">
      <w:pPr>
        <w:pStyle w:val="-"/>
        <w:spacing w:line="500" w:lineRule="exact"/>
        <w:ind w:firstLineChars="0" w:firstLine="0"/>
        <w:rPr>
          <w:rFonts w:ascii="Times New Roman" w:eastAsia="方正仿宋_GBK" w:hAnsi="Times New Roman" w:cs="Times New Roman"/>
        </w:rPr>
      </w:pPr>
      <w:r>
        <w:rPr>
          <w:rFonts w:ascii="Times New Roman" w:eastAsia="方正仿宋_GBK" w:hAnsi="Times New Roman" w:cs="Times New Roman"/>
          <w:sz w:val="24"/>
          <w:szCs w:val="24"/>
        </w:rPr>
        <w:t>八、评估报告使用范围：</w:t>
      </w:r>
    </w:p>
    <w:p w14:paraId="6CBF291A"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本报告的使用者包括委托方及委托方许可使用的、与本次经济行为相关的第三方。本评估报告仅</w:t>
      </w:r>
      <w:proofErr w:type="gramStart"/>
      <w:r>
        <w:rPr>
          <w:rFonts w:ascii="Times New Roman" w:eastAsia="方正仿宋_GBK" w:hAnsi="Times New Roman" w:cs="Times New Roman"/>
          <w:sz w:val="24"/>
          <w:szCs w:val="24"/>
        </w:rPr>
        <w:t>供上述</w:t>
      </w:r>
      <w:proofErr w:type="gramEnd"/>
      <w:r>
        <w:rPr>
          <w:rFonts w:ascii="Times New Roman" w:eastAsia="方正仿宋_GBK" w:hAnsi="Times New Roman" w:cs="Times New Roman"/>
          <w:sz w:val="24"/>
          <w:szCs w:val="24"/>
        </w:rPr>
        <w:t>约定的报告使用者使用，法律、法规另有规定除外。</w:t>
      </w:r>
    </w:p>
    <w:p w14:paraId="2E4A2727" w14:textId="77777777"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九、评估机构和委托人的其他权利和义务：</w:t>
      </w:r>
    </w:p>
    <w:p w14:paraId="6FF8DA83" w14:textId="77777777"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（一）甲方的责任</w:t>
      </w:r>
    </w:p>
    <w:p w14:paraId="3123E016"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委托方应当根据评估业务的需要，负责评估人员与相关当事方之间的协调；按约定的日期为乙方提供与评估相关的评估明细表及相关证明材料，委托方或者产权持有者应当对其提供的评估明细表及相关证明材料以签字、盖章或者其他方式进行确认。</w:t>
      </w:r>
    </w:p>
    <w:p w14:paraId="4BD26D00"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、在评估中需要甲方或被评估单位配合的，特别是现场勘查和资产清查时，应指定相应人员积极配合，使评估工作顺利进行。</w:t>
      </w:r>
    </w:p>
    <w:p w14:paraId="47220F33"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甲方及被评估单位应当清楚提供必要的资料，并保证所提供资料的真实性、合法性、完整性，恰当使用评估报告是委托方和相关当事方的责任。</w:t>
      </w:r>
    </w:p>
    <w:p w14:paraId="7CA9E0E9"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按合同规定的标准和方式及合同条件支付给乙方服务费用。</w:t>
      </w:r>
    </w:p>
    <w:p w14:paraId="09A283A8" w14:textId="77777777"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（二）乙方的责任</w:t>
      </w:r>
    </w:p>
    <w:p w14:paraId="05EC166F"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遵守相关法律、法规和房地产土地评估的准则，恪守职业道德，对评估对象在评估基准日特定目的下的价值进行分析、估算并发表专业意见。</w:t>
      </w:r>
    </w:p>
    <w:p w14:paraId="391D2F01"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对甲方或被评估单位所提供的全部资料、评估结果，严守秘密；未经委托方允许，乙方不得将评估报告的内容向第三方提供或者公开，法律、法规另有规定除外。</w:t>
      </w:r>
    </w:p>
    <w:p w14:paraId="00DDF164"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按约定的时间提交报告</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若因甲方或被评估单位不能按规定时间提供材料，则乙方</w:t>
      </w:r>
      <w:r>
        <w:rPr>
          <w:rFonts w:ascii="Times New Roman" w:eastAsia="方正仿宋_GBK" w:hAnsi="Times New Roman" w:cs="Times New Roman"/>
          <w:sz w:val="24"/>
          <w:szCs w:val="24"/>
        </w:rPr>
        <w:lastRenderedPageBreak/>
        <w:t>顺延交付报告的时间。</w:t>
      </w:r>
    </w:p>
    <w:p w14:paraId="06DB9B51" w14:textId="77777777" w:rsidR="00FB117E" w:rsidRDefault="007B140E" w:rsidP="00150868">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十、保密条款：双方在履行协议期间所获得对方资料包括但不限于经营资料、技术资料、产品信息等一切资料均属商业秘密，双方必须承担保密责任，未经对方书面许可，任何一方不得以任何形式向第三方透露。双方同意，不论本合同是否变更、解除或终止，本条规定的保密义务将持续有效，对双方均有约束力。甲方认为有必要时可与乙方另行签订保密协议。</w:t>
      </w:r>
    </w:p>
    <w:p w14:paraId="26F30190" w14:textId="77777777"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十</w:t>
      </w:r>
      <w:r>
        <w:rPr>
          <w:rFonts w:ascii="Times New Roman" w:eastAsia="方正仿宋_GBK" w:hAnsi="Times New Roman" w:cs="Times New Roman" w:hint="eastAsia"/>
          <w:sz w:val="24"/>
          <w:szCs w:val="24"/>
        </w:rPr>
        <w:t>一</w:t>
      </w:r>
      <w:r>
        <w:rPr>
          <w:rFonts w:ascii="Times New Roman" w:eastAsia="方正仿宋_GBK" w:hAnsi="Times New Roman" w:cs="Times New Roman"/>
          <w:sz w:val="24"/>
          <w:szCs w:val="24"/>
        </w:rPr>
        <w:t>、违约责任和争议解决：</w:t>
      </w:r>
    </w:p>
    <w:p w14:paraId="0D2775A4" w14:textId="77777777" w:rsidR="00FB117E" w:rsidRDefault="007B140E">
      <w:pPr>
        <w:pStyle w:val="-"/>
        <w:spacing w:line="48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因甲方或被评估单位原因造成评估业务中止时，乙方可以要求委托方按照已完成的工作量支付相应的评估服务费和已支付的差旅等费用。</w:t>
      </w:r>
    </w:p>
    <w:p w14:paraId="0F107F37"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因本约定或执行本约定书产生的任何争议，应当由甲乙双方协商解决，如协商不成，应将争议提交当地的有关部门或仲裁委员会仲裁，仲裁结果对双方均具有约束力。</w:t>
      </w:r>
    </w:p>
    <w:p w14:paraId="07AE3718" w14:textId="60176A92" w:rsidR="00FB117E" w:rsidRDefault="007B140E">
      <w:pPr>
        <w:pStyle w:val="-"/>
        <w:spacing w:line="500" w:lineRule="exact"/>
        <w:ind w:firstLineChars="0" w:firstLine="0"/>
        <w:rPr>
          <w:rFonts w:ascii="Times New Roman" w:eastAsia="方正仿宋_GBK" w:hAnsi="Times New Roman" w:cs="Times New Roman"/>
          <w:sz w:val="24"/>
          <w:szCs w:val="24"/>
        </w:rPr>
      </w:pPr>
      <w:r>
        <w:rPr>
          <w:rFonts w:ascii="Times New Roman" w:eastAsia="方正仿宋_GBK" w:hAnsi="Times New Roman" w:cs="Times New Roman"/>
          <w:sz w:val="24"/>
          <w:szCs w:val="24"/>
        </w:rPr>
        <w:t>十</w:t>
      </w:r>
      <w:r>
        <w:rPr>
          <w:rFonts w:ascii="Times New Roman" w:eastAsia="方正仿宋_GBK" w:hAnsi="Times New Roman" w:cs="Times New Roman" w:hint="eastAsia"/>
          <w:sz w:val="24"/>
          <w:szCs w:val="24"/>
        </w:rPr>
        <w:t>二</w:t>
      </w:r>
      <w:r>
        <w:rPr>
          <w:rFonts w:ascii="Times New Roman" w:eastAsia="方正仿宋_GBK" w:hAnsi="Times New Roman" w:cs="Times New Roman"/>
          <w:sz w:val="24"/>
          <w:szCs w:val="24"/>
        </w:rPr>
        <w:t>、其他事项：</w:t>
      </w:r>
    </w:p>
    <w:p w14:paraId="073846BE" w14:textId="77777777" w:rsidR="00FB117E" w:rsidRDefault="007B140E">
      <w:pPr>
        <w:pStyle w:val="-"/>
        <w:spacing w:line="500" w:lineRule="exact"/>
        <w:ind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当评估目的、评估对象、评估基准日发生变化，或者评估范围发生重大变化，应当签订补充协议或者重新签订业务资产评估委托合同。</w:t>
      </w:r>
    </w:p>
    <w:p w14:paraId="5A481C57" w14:textId="5DBC7D29" w:rsidR="00FB117E" w:rsidRDefault="007B140E">
      <w:pPr>
        <w:pStyle w:val="-"/>
        <w:spacing w:line="500" w:lineRule="exact"/>
        <w:ind w:firstLine="480"/>
        <w:rPr>
          <w:rFonts w:ascii="Times New Roman" w:eastAsia="方正仿宋_GBK" w:hAnsi="Times New Roman" w:cs="Times New Roman"/>
        </w:rPr>
      </w:pP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本合同一式</w:t>
      </w:r>
      <w:r w:rsidR="00241819" w:rsidRPr="00241819">
        <w:rPr>
          <w:rFonts w:ascii="Times New Roman" w:eastAsia="方正仿宋_GBK" w:hAnsi="Times New Roman" w:cs="Times New Roman" w:hint="eastAsia"/>
          <w:sz w:val="24"/>
          <w:szCs w:val="24"/>
        </w:rPr>
        <w:t>肆</w:t>
      </w:r>
      <w:r>
        <w:rPr>
          <w:rFonts w:ascii="Times New Roman" w:eastAsia="方正仿宋_GBK" w:hAnsi="Times New Roman" w:cs="Times New Roman"/>
          <w:sz w:val="24"/>
          <w:szCs w:val="24"/>
        </w:rPr>
        <w:t>份，甲方执</w:t>
      </w:r>
      <w:r>
        <w:rPr>
          <w:rFonts w:ascii="Times New Roman" w:eastAsia="方正仿宋_GBK" w:hAnsi="Times New Roman" w:cs="Times New Roman"/>
          <w:sz w:val="24"/>
          <w:szCs w:val="24"/>
        </w:rPr>
        <w:t xml:space="preserve"> </w:t>
      </w:r>
      <w:r w:rsidR="00241819" w:rsidRPr="00241819">
        <w:rPr>
          <w:rFonts w:ascii="Times New Roman" w:eastAsia="方正仿宋_GBK" w:hAnsi="Times New Roman" w:cs="Times New Roman" w:hint="eastAsia"/>
          <w:sz w:val="24"/>
          <w:szCs w:val="24"/>
        </w:rPr>
        <w:t>贰</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份，乙方执</w:t>
      </w:r>
      <w:r w:rsidRPr="00241819">
        <w:rPr>
          <w:rFonts w:ascii="Times New Roman" w:eastAsia="方正仿宋_GBK" w:hAnsi="Times New Roman" w:cs="Times New Roman" w:hint="eastAsia"/>
          <w:sz w:val="24"/>
          <w:szCs w:val="24"/>
        </w:rPr>
        <w:t>贰</w:t>
      </w:r>
      <w:r>
        <w:rPr>
          <w:rFonts w:ascii="Times New Roman" w:eastAsia="方正仿宋_GBK" w:hAnsi="Times New Roman" w:cs="Times New Roman"/>
          <w:sz w:val="24"/>
          <w:szCs w:val="24"/>
        </w:rPr>
        <w:t>份</w:t>
      </w:r>
      <w:r>
        <w:rPr>
          <w:rFonts w:ascii="Times New Roman" w:eastAsia="方正仿宋_GBK" w:hAnsi="Times New Roman" w:cs="Times New Roman"/>
        </w:rPr>
        <w:t>。</w:t>
      </w:r>
    </w:p>
    <w:p w14:paraId="04A9844A" w14:textId="77777777" w:rsidR="00FB117E" w:rsidRDefault="00FB117E">
      <w:pPr>
        <w:pStyle w:val="-"/>
        <w:spacing w:line="480" w:lineRule="exact"/>
        <w:ind w:firstLineChars="50" w:firstLine="140"/>
        <w:rPr>
          <w:rFonts w:ascii="Times New Roman" w:eastAsia="方正仿宋_GBK" w:hAnsi="Times New Roman" w:cs="Times New Roman"/>
        </w:rPr>
      </w:pPr>
    </w:p>
    <w:p w14:paraId="687313E7" w14:textId="77777777" w:rsidR="00FB117E" w:rsidRDefault="00FB117E">
      <w:pPr>
        <w:pStyle w:val="-"/>
        <w:spacing w:line="480" w:lineRule="auto"/>
        <w:ind w:firstLineChars="50" w:firstLine="120"/>
        <w:rPr>
          <w:rFonts w:ascii="Times New Roman" w:eastAsia="方正仿宋_GBK" w:hAnsi="Times New Roman" w:cs="Times New Roman"/>
          <w:sz w:val="24"/>
          <w:szCs w:val="24"/>
        </w:rPr>
      </w:pPr>
    </w:p>
    <w:p w14:paraId="79E95874" w14:textId="77777777" w:rsidR="00FB117E" w:rsidRDefault="00FB117E">
      <w:pPr>
        <w:pStyle w:val="-"/>
        <w:spacing w:line="480" w:lineRule="auto"/>
        <w:ind w:firstLineChars="50" w:firstLine="120"/>
        <w:rPr>
          <w:rFonts w:ascii="Times New Roman" w:eastAsia="方正仿宋_GBK" w:hAnsi="Times New Roman" w:cs="Times New Roman"/>
          <w:sz w:val="24"/>
          <w:szCs w:val="24"/>
        </w:rPr>
      </w:pPr>
    </w:p>
    <w:p w14:paraId="4581CD33" w14:textId="77777777" w:rsidR="00FB117E" w:rsidRDefault="00FB117E">
      <w:pPr>
        <w:pStyle w:val="-"/>
        <w:spacing w:line="480" w:lineRule="auto"/>
        <w:ind w:firstLineChars="50" w:firstLine="120"/>
        <w:rPr>
          <w:rFonts w:ascii="Times New Roman" w:eastAsia="方正仿宋_GBK" w:hAnsi="Times New Roman" w:cs="Times New Roman"/>
          <w:sz w:val="24"/>
          <w:szCs w:val="24"/>
        </w:rPr>
      </w:pPr>
    </w:p>
    <w:p w14:paraId="19E086F6" w14:textId="77777777" w:rsidR="00FB117E" w:rsidRDefault="007B140E">
      <w:pPr>
        <w:pStyle w:val="-"/>
        <w:spacing w:line="480" w:lineRule="auto"/>
        <w:ind w:firstLineChars="50" w:firstLine="120"/>
        <w:rPr>
          <w:rFonts w:ascii="Times New Roman" w:eastAsia="方正仿宋_GBK" w:hAnsi="Times New Roman" w:cs="Times New Roman"/>
          <w:sz w:val="24"/>
          <w:szCs w:val="24"/>
        </w:rPr>
      </w:pPr>
      <w:r>
        <w:rPr>
          <w:rFonts w:ascii="Times New Roman" w:eastAsia="方正仿宋_GBK" w:hAnsi="Times New Roman" w:cs="Times New Roman"/>
          <w:sz w:val="24"/>
          <w:szCs w:val="24"/>
        </w:rPr>
        <w:t>甲方（盖章）：</w:t>
      </w:r>
      <w:r>
        <w:rPr>
          <w:rFonts w:ascii="Times New Roman" w:eastAsia="方正仿宋_GBK" w:hAnsi="Times New Roman" w:cs="Times New Roman"/>
          <w:sz w:val="24"/>
          <w:szCs w:val="24"/>
        </w:rPr>
        <w:t xml:space="preserve">                     </w:t>
      </w:r>
      <w:r>
        <w:rPr>
          <w:rFonts w:ascii="Times New Roman" w:eastAsia="方正仿宋_GBK" w:hAnsi="Times New Roman" w:cs="Times New Roman"/>
          <w:sz w:val="24"/>
          <w:szCs w:val="24"/>
        </w:rPr>
        <w:t>乙方（盖章）：</w:t>
      </w:r>
    </w:p>
    <w:p w14:paraId="1943EBBE" w14:textId="77777777" w:rsidR="00FB117E" w:rsidRDefault="007B140E">
      <w:pPr>
        <w:spacing w:line="480" w:lineRule="auto"/>
        <w:rPr>
          <w:rFonts w:ascii="Times New Roman" w:eastAsia="方正仿宋_GBK" w:hAnsi="Times New Roman" w:cs="Times New Roman"/>
          <w:sz w:val="20"/>
          <w:szCs w:val="22"/>
        </w:rPr>
      </w:pPr>
      <w:r>
        <w:rPr>
          <w:rFonts w:ascii="Times New Roman" w:eastAsia="方正仿宋_GBK" w:hAnsi="Times New Roman" w:cs="Times New Roman"/>
          <w:sz w:val="20"/>
          <w:szCs w:val="22"/>
        </w:rPr>
        <w:t xml:space="preserve">    </w:t>
      </w:r>
    </w:p>
    <w:p w14:paraId="78089114" w14:textId="77777777" w:rsidR="00FB117E" w:rsidRDefault="007B140E">
      <w:pPr>
        <w:spacing w:line="480" w:lineRule="auto"/>
        <w:rPr>
          <w:rFonts w:ascii="Times New Roman" w:eastAsia="方正仿宋_GBK" w:hAnsi="Times New Roman" w:cs="Times New Roman"/>
          <w:sz w:val="24"/>
        </w:rPr>
      </w:pPr>
      <w:r>
        <w:rPr>
          <w:rFonts w:ascii="Times New Roman" w:eastAsia="方正仿宋_GBK" w:hAnsi="Times New Roman" w:cs="Times New Roman"/>
          <w:sz w:val="24"/>
        </w:rPr>
        <w:t>法定代表人或授权代表（签字）：</w:t>
      </w:r>
      <w:r>
        <w:rPr>
          <w:rFonts w:ascii="Times New Roman" w:eastAsia="方正仿宋_GBK" w:hAnsi="Times New Roman" w:cs="Times New Roman"/>
          <w:sz w:val="20"/>
          <w:szCs w:val="22"/>
        </w:rPr>
        <w:t xml:space="preserve">        </w:t>
      </w:r>
      <w:r>
        <w:rPr>
          <w:rFonts w:ascii="Times New Roman" w:eastAsia="方正仿宋_GBK" w:hAnsi="Times New Roman" w:cs="Times New Roman"/>
          <w:sz w:val="24"/>
        </w:rPr>
        <w:t>法定代表人或授权代表（签字）：</w:t>
      </w:r>
    </w:p>
    <w:p w14:paraId="0FB23EFF" w14:textId="77777777" w:rsidR="00FB117E" w:rsidRDefault="007B140E">
      <w:pPr>
        <w:spacing w:line="480" w:lineRule="auto"/>
        <w:rPr>
          <w:rFonts w:ascii="Times New Roman" w:eastAsia="方正仿宋_GBK" w:hAnsi="Times New Roman" w:cs="Times New Roman"/>
          <w:sz w:val="24"/>
        </w:rPr>
      </w:pPr>
      <w:r>
        <w:rPr>
          <w:rFonts w:ascii="Times New Roman" w:eastAsia="方正仿宋_GBK" w:hAnsi="Times New Roman" w:cs="Times New Roman"/>
          <w:sz w:val="24"/>
        </w:rPr>
        <w:t>签订地点：南京市</w:t>
      </w:r>
      <w:r>
        <w:rPr>
          <w:rFonts w:ascii="Times New Roman" w:eastAsia="方正仿宋_GBK" w:hAnsi="Times New Roman" w:cs="Times New Roman"/>
          <w:sz w:val="24"/>
        </w:rPr>
        <w:t xml:space="preserve">                     </w:t>
      </w:r>
      <w:r>
        <w:rPr>
          <w:rFonts w:ascii="Times New Roman" w:eastAsia="方正仿宋_GBK" w:hAnsi="Times New Roman" w:cs="Times New Roman"/>
          <w:sz w:val="24"/>
        </w:rPr>
        <w:t>签订地点：南京市</w:t>
      </w:r>
    </w:p>
    <w:p w14:paraId="23A61D84" w14:textId="4A2F5BC3" w:rsidR="00FB117E" w:rsidRDefault="007B140E">
      <w:pPr>
        <w:spacing w:line="480" w:lineRule="auto"/>
        <w:rPr>
          <w:rFonts w:ascii="Times New Roman" w:eastAsia="方正仿宋_GBK" w:hAnsi="Times New Roman" w:cs="Times New Roman"/>
          <w:sz w:val="24"/>
        </w:rPr>
      </w:pPr>
      <w:r>
        <w:rPr>
          <w:rFonts w:ascii="Times New Roman" w:eastAsia="方正仿宋_GBK" w:hAnsi="Times New Roman" w:cs="Times New Roman"/>
          <w:sz w:val="24"/>
        </w:rPr>
        <w:t>联系人：</w:t>
      </w:r>
      <w:r>
        <w:rPr>
          <w:rFonts w:ascii="Times New Roman" w:eastAsia="方正仿宋_GBK" w:hAnsi="Times New Roman" w:cs="Times New Roman"/>
          <w:sz w:val="24"/>
        </w:rPr>
        <w:t xml:space="preserve">                             </w:t>
      </w:r>
      <w:r>
        <w:rPr>
          <w:rFonts w:ascii="Times New Roman" w:eastAsia="方正仿宋_GBK" w:hAnsi="Times New Roman" w:cs="Times New Roman"/>
          <w:sz w:val="24"/>
        </w:rPr>
        <w:t>联系人：</w:t>
      </w:r>
      <w:r w:rsidR="00241819">
        <w:rPr>
          <w:rFonts w:ascii="Times New Roman" w:eastAsia="方正仿宋_GBK" w:hAnsi="Times New Roman" w:cs="Times New Roman"/>
          <w:sz w:val="24"/>
        </w:rPr>
        <w:t xml:space="preserve"> </w:t>
      </w:r>
    </w:p>
    <w:p w14:paraId="2D0F2F6A" w14:textId="767ADEA7" w:rsidR="00FB117E" w:rsidRDefault="007B140E">
      <w:pPr>
        <w:spacing w:line="480" w:lineRule="auto"/>
        <w:rPr>
          <w:rFonts w:ascii="Times New Roman" w:eastAsia="方正仿宋_GBK" w:hAnsi="Times New Roman" w:cs="Times New Roman"/>
          <w:sz w:val="24"/>
        </w:rPr>
      </w:pPr>
      <w:r>
        <w:rPr>
          <w:rFonts w:ascii="Times New Roman" w:eastAsia="方正仿宋_GBK" w:hAnsi="Times New Roman" w:cs="Times New Roman"/>
          <w:sz w:val="24"/>
        </w:rPr>
        <w:t>联系方式：</w:t>
      </w:r>
      <w:r w:rsidR="00241819">
        <w:rPr>
          <w:rFonts w:ascii="Times New Roman" w:eastAsia="方正仿宋_GBK" w:hAnsi="Times New Roman" w:cs="Times New Roman" w:hint="eastAsia"/>
          <w:sz w:val="24"/>
        </w:rPr>
        <w:t xml:space="preserve">025-85811041 </w:t>
      </w:r>
      <w:proofErr w:type="gramStart"/>
      <w:r w:rsidR="00241819">
        <w:rPr>
          <w:rFonts w:ascii="Times New Roman" w:eastAsia="方正仿宋_GBK" w:hAnsi="Times New Roman" w:cs="Times New Roman" w:hint="eastAsia"/>
          <w:sz w:val="24"/>
        </w:rPr>
        <w:t xml:space="preserve">　　　　　　　</w:t>
      </w:r>
      <w:proofErr w:type="gramEnd"/>
      <w:r>
        <w:rPr>
          <w:rFonts w:ascii="Times New Roman" w:eastAsia="方正仿宋_GBK" w:hAnsi="Times New Roman" w:cs="Times New Roman"/>
          <w:sz w:val="24"/>
        </w:rPr>
        <w:t>联系方式：</w:t>
      </w:r>
    </w:p>
    <w:p w14:paraId="7B6E0B4F" w14:textId="393B2B8C" w:rsidR="00FB117E" w:rsidRDefault="007B140E">
      <w:pPr>
        <w:pStyle w:val="-"/>
        <w:spacing w:line="240" w:lineRule="auto"/>
        <w:ind w:firstLineChars="0" w:firstLine="0"/>
        <w:rPr>
          <w:rFonts w:ascii="Times New Roman" w:eastAsia="方正仿宋_GBK" w:hAnsi="Times New Roman" w:cs="Times New Roman"/>
        </w:rPr>
      </w:pPr>
      <w:r>
        <w:rPr>
          <w:rFonts w:ascii="Times New Roman" w:eastAsia="方正仿宋_GBK" w:hAnsi="Times New Roman" w:cs="Times New Roman"/>
          <w:sz w:val="24"/>
          <w:szCs w:val="24"/>
        </w:rPr>
        <w:t>202</w:t>
      </w:r>
      <w:r w:rsidR="00241819">
        <w:rPr>
          <w:rFonts w:ascii="Times New Roman" w:eastAsia="方正仿宋_GBK" w:hAnsi="Times New Roman" w:cs="Times New Roman" w:hint="eastAsia"/>
          <w:sz w:val="24"/>
          <w:szCs w:val="24"/>
        </w:rPr>
        <w:t>6</w:t>
      </w:r>
      <w:r>
        <w:rPr>
          <w:rFonts w:ascii="Times New Roman" w:eastAsia="方正仿宋_GBK" w:hAnsi="Times New Roman" w:cs="Times New Roman"/>
          <w:sz w:val="24"/>
          <w:szCs w:val="24"/>
        </w:rPr>
        <w:t>年</w:t>
      </w:r>
      <w:r w:rsidR="00241819">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月</w:t>
      </w:r>
      <w:r w:rsidR="00241819">
        <w:rPr>
          <w:rFonts w:ascii="Times New Roman" w:eastAsia="方正仿宋_GBK" w:hAnsi="Times New Roman" w:cs="Times New Roman" w:hint="eastAsia"/>
          <w:sz w:val="24"/>
          <w:szCs w:val="24"/>
        </w:rPr>
        <w:t xml:space="preserve">  </w:t>
      </w:r>
      <w:r>
        <w:rPr>
          <w:rFonts w:ascii="Times New Roman" w:eastAsia="方正仿宋_GBK" w:hAnsi="Times New Roman" w:cs="Times New Roman"/>
          <w:sz w:val="24"/>
          <w:szCs w:val="24"/>
        </w:rPr>
        <w:t>日</w:t>
      </w:r>
      <w:r>
        <w:rPr>
          <w:rFonts w:ascii="Times New Roman" w:eastAsia="方正仿宋_GBK" w:hAnsi="Times New Roman" w:cs="Times New Roman"/>
          <w:sz w:val="24"/>
          <w:szCs w:val="24"/>
        </w:rPr>
        <w:t xml:space="preserve">                       202</w:t>
      </w:r>
      <w:r w:rsidR="00241819">
        <w:rPr>
          <w:rFonts w:ascii="Times New Roman" w:eastAsia="方正仿宋_GBK" w:hAnsi="Times New Roman" w:cs="Times New Roman" w:hint="eastAsia"/>
          <w:sz w:val="24"/>
          <w:szCs w:val="24"/>
        </w:rPr>
        <w:t>6</w:t>
      </w:r>
      <w:r>
        <w:rPr>
          <w:rFonts w:ascii="Times New Roman" w:eastAsia="方正仿宋_GBK" w:hAnsi="Times New Roman" w:cs="Times New Roman"/>
          <w:sz w:val="24"/>
          <w:szCs w:val="24"/>
        </w:rPr>
        <w:t>年</w:t>
      </w:r>
      <w:r w:rsidR="00241819">
        <w:rPr>
          <w:rFonts w:ascii="Times New Roman" w:eastAsia="方正仿宋_GBK" w:hAnsi="Times New Roman" w:cs="Times New Roman" w:hint="eastAsia"/>
          <w:sz w:val="24"/>
          <w:szCs w:val="24"/>
        </w:rPr>
        <w:t>3</w:t>
      </w:r>
      <w:r>
        <w:rPr>
          <w:rFonts w:ascii="Times New Roman" w:eastAsia="方正仿宋_GBK" w:hAnsi="Times New Roman" w:cs="Times New Roman"/>
          <w:sz w:val="24"/>
          <w:szCs w:val="24"/>
        </w:rPr>
        <w:t>月</w:t>
      </w:r>
      <w:r w:rsidR="00241819">
        <w:rPr>
          <w:rFonts w:ascii="Times New Roman" w:eastAsia="方正仿宋_GBK" w:hAnsi="Times New Roman" w:cs="Times New Roman" w:hint="eastAsia"/>
          <w:sz w:val="24"/>
          <w:szCs w:val="24"/>
        </w:rPr>
        <w:t xml:space="preserve">  </w:t>
      </w:r>
      <w:r>
        <w:rPr>
          <w:rFonts w:ascii="Times New Roman" w:eastAsia="方正仿宋_GBK" w:hAnsi="Times New Roman" w:cs="Times New Roman"/>
          <w:sz w:val="24"/>
          <w:szCs w:val="24"/>
        </w:rPr>
        <w:t>日</w:t>
      </w:r>
      <w:r>
        <w:rPr>
          <w:rFonts w:ascii="Times New Roman" w:eastAsia="方正仿宋_GBK" w:hAnsi="Times New Roman" w:cs="Times New Roman"/>
        </w:rPr>
        <w:t xml:space="preserve"> </w:t>
      </w:r>
    </w:p>
    <w:sectPr w:rsidR="00FB117E">
      <w:footerReference w:type="default" r:id="rId7"/>
      <w:pgSz w:w="11906" w:h="16838"/>
      <w:pgMar w:top="1134" w:right="1417" w:bottom="1134"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5780" w14:textId="77777777" w:rsidR="00823C78" w:rsidRDefault="00823C78">
      <w:r>
        <w:separator/>
      </w:r>
    </w:p>
  </w:endnote>
  <w:endnote w:type="continuationSeparator" w:id="0">
    <w:p w14:paraId="2CAFFB76" w14:textId="77777777" w:rsidR="00823C78" w:rsidRDefault="0082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43158"/>
    </w:sdtPr>
    <w:sdtContent>
      <w:p w14:paraId="03EF1D1B" w14:textId="77777777" w:rsidR="00FB117E" w:rsidRDefault="007B140E">
        <w:pPr>
          <w:pStyle w:val="aa"/>
          <w:jc w:val="center"/>
        </w:pPr>
        <w:r>
          <w:fldChar w:fldCharType="begin"/>
        </w:r>
        <w:r>
          <w:instrText>PAGE   \* MERGEFORMAT</w:instrText>
        </w:r>
        <w:r>
          <w:fldChar w:fldCharType="separate"/>
        </w:r>
        <w:r>
          <w:rPr>
            <w:lang w:val="zh-CN"/>
          </w:rPr>
          <w:t>2</w:t>
        </w:r>
        <w:r>
          <w:fldChar w:fldCharType="end"/>
        </w:r>
      </w:p>
    </w:sdtContent>
  </w:sdt>
  <w:p w14:paraId="41F7011A" w14:textId="77777777" w:rsidR="00FB117E" w:rsidRDefault="00FB117E">
    <w:pPr>
      <w:pStyle w:val="aa"/>
    </w:pPr>
  </w:p>
  <w:p w14:paraId="723A4648" w14:textId="77777777" w:rsidR="00FB117E" w:rsidRDefault="00FB11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286F" w14:textId="77777777" w:rsidR="00823C78" w:rsidRDefault="00823C78">
      <w:r>
        <w:separator/>
      </w:r>
    </w:p>
  </w:footnote>
  <w:footnote w:type="continuationSeparator" w:id="0">
    <w:p w14:paraId="6F4EBF7C" w14:textId="77777777" w:rsidR="00823C78" w:rsidRDefault="00823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3CCD4"/>
    <w:multiLevelType w:val="singleLevel"/>
    <w:tmpl w:val="2F33CCD4"/>
    <w:lvl w:ilvl="0">
      <w:start w:val="2"/>
      <w:numFmt w:val="chineseCounting"/>
      <w:suff w:val="nothing"/>
      <w:lvlText w:val="%1、"/>
      <w:lvlJc w:val="left"/>
      <w:rPr>
        <w:rFonts w:hint="eastAsia"/>
      </w:rPr>
    </w:lvl>
  </w:abstractNum>
  <w:num w:numId="1" w16cid:durableId="37258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0NzBiZGJiZjI0MWIzZWFhMTRhMzA2MTc3ODg0YTYifQ=="/>
  </w:docVars>
  <w:rsids>
    <w:rsidRoot w:val="05621879"/>
    <w:rsid w:val="000129E2"/>
    <w:rsid w:val="000379BB"/>
    <w:rsid w:val="00046941"/>
    <w:rsid w:val="000566EE"/>
    <w:rsid w:val="00082E3D"/>
    <w:rsid w:val="000868C7"/>
    <w:rsid w:val="00086B21"/>
    <w:rsid w:val="000C0C14"/>
    <w:rsid w:val="000E0716"/>
    <w:rsid w:val="000E1204"/>
    <w:rsid w:val="000E3E59"/>
    <w:rsid w:val="000E7BF2"/>
    <w:rsid w:val="00112F65"/>
    <w:rsid w:val="00150868"/>
    <w:rsid w:val="0016029E"/>
    <w:rsid w:val="001A3377"/>
    <w:rsid w:val="001C0DE5"/>
    <w:rsid w:val="001D2C9C"/>
    <w:rsid w:val="001F23CA"/>
    <w:rsid w:val="001F33A5"/>
    <w:rsid w:val="002147CC"/>
    <w:rsid w:val="00221731"/>
    <w:rsid w:val="00232F0B"/>
    <w:rsid w:val="00241819"/>
    <w:rsid w:val="00242EB9"/>
    <w:rsid w:val="002445B4"/>
    <w:rsid w:val="00247732"/>
    <w:rsid w:val="0026651A"/>
    <w:rsid w:val="002675D4"/>
    <w:rsid w:val="00273668"/>
    <w:rsid w:val="002A0B55"/>
    <w:rsid w:val="003125A1"/>
    <w:rsid w:val="00335B28"/>
    <w:rsid w:val="0034051A"/>
    <w:rsid w:val="00341B03"/>
    <w:rsid w:val="00343F38"/>
    <w:rsid w:val="003529AC"/>
    <w:rsid w:val="00361643"/>
    <w:rsid w:val="00373359"/>
    <w:rsid w:val="00377BED"/>
    <w:rsid w:val="00392057"/>
    <w:rsid w:val="003A2ED2"/>
    <w:rsid w:val="003D0B19"/>
    <w:rsid w:val="003E2F02"/>
    <w:rsid w:val="003E686D"/>
    <w:rsid w:val="0041210C"/>
    <w:rsid w:val="004216F4"/>
    <w:rsid w:val="00437FFA"/>
    <w:rsid w:val="00441506"/>
    <w:rsid w:val="0045152F"/>
    <w:rsid w:val="00457DD5"/>
    <w:rsid w:val="004A72C0"/>
    <w:rsid w:val="004B332F"/>
    <w:rsid w:val="004C5424"/>
    <w:rsid w:val="004E217C"/>
    <w:rsid w:val="004F0B21"/>
    <w:rsid w:val="004F37A3"/>
    <w:rsid w:val="00515003"/>
    <w:rsid w:val="00535180"/>
    <w:rsid w:val="00566052"/>
    <w:rsid w:val="0058076E"/>
    <w:rsid w:val="005A391C"/>
    <w:rsid w:val="005B454E"/>
    <w:rsid w:val="005D0D04"/>
    <w:rsid w:val="005E0AA6"/>
    <w:rsid w:val="005F0A0A"/>
    <w:rsid w:val="005F1053"/>
    <w:rsid w:val="005F3BD5"/>
    <w:rsid w:val="00604864"/>
    <w:rsid w:val="00606D5B"/>
    <w:rsid w:val="006352A3"/>
    <w:rsid w:val="00656AD8"/>
    <w:rsid w:val="00661D32"/>
    <w:rsid w:val="00677F26"/>
    <w:rsid w:val="00685470"/>
    <w:rsid w:val="00686135"/>
    <w:rsid w:val="006961DD"/>
    <w:rsid w:val="006A6EF4"/>
    <w:rsid w:val="006C3BDD"/>
    <w:rsid w:val="006F04E0"/>
    <w:rsid w:val="006F3B9A"/>
    <w:rsid w:val="00711B16"/>
    <w:rsid w:val="0071306C"/>
    <w:rsid w:val="00723F06"/>
    <w:rsid w:val="00724B7B"/>
    <w:rsid w:val="007B140E"/>
    <w:rsid w:val="007C1DFC"/>
    <w:rsid w:val="007E5D6C"/>
    <w:rsid w:val="007E64BA"/>
    <w:rsid w:val="008026F8"/>
    <w:rsid w:val="008162A0"/>
    <w:rsid w:val="00820090"/>
    <w:rsid w:val="00823C78"/>
    <w:rsid w:val="008258B7"/>
    <w:rsid w:val="008304AC"/>
    <w:rsid w:val="008550FA"/>
    <w:rsid w:val="008560D8"/>
    <w:rsid w:val="00864164"/>
    <w:rsid w:val="00872457"/>
    <w:rsid w:val="00874CF0"/>
    <w:rsid w:val="0088312D"/>
    <w:rsid w:val="008B7142"/>
    <w:rsid w:val="008C1E7F"/>
    <w:rsid w:val="008E6618"/>
    <w:rsid w:val="009240AC"/>
    <w:rsid w:val="00934441"/>
    <w:rsid w:val="009445B1"/>
    <w:rsid w:val="00973716"/>
    <w:rsid w:val="00982E50"/>
    <w:rsid w:val="00996758"/>
    <w:rsid w:val="009D2A67"/>
    <w:rsid w:val="009E7799"/>
    <w:rsid w:val="009F211B"/>
    <w:rsid w:val="00A05243"/>
    <w:rsid w:val="00A473B2"/>
    <w:rsid w:val="00A71A10"/>
    <w:rsid w:val="00AA75BC"/>
    <w:rsid w:val="00AB1102"/>
    <w:rsid w:val="00AB19E0"/>
    <w:rsid w:val="00AC5EAF"/>
    <w:rsid w:val="00AF3C8E"/>
    <w:rsid w:val="00B319E5"/>
    <w:rsid w:val="00B43547"/>
    <w:rsid w:val="00B714FF"/>
    <w:rsid w:val="00B7303B"/>
    <w:rsid w:val="00B752C6"/>
    <w:rsid w:val="00B776B5"/>
    <w:rsid w:val="00BB2B2F"/>
    <w:rsid w:val="00BC40DC"/>
    <w:rsid w:val="00BF2B04"/>
    <w:rsid w:val="00BF6740"/>
    <w:rsid w:val="00C65A0F"/>
    <w:rsid w:val="00C70791"/>
    <w:rsid w:val="00C82FA6"/>
    <w:rsid w:val="00C92789"/>
    <w:rsid w:val="00C933B9"/>
    <w:rsid w:val="00CA41F5"/>
    <w:rsid w:val="00CA5CB4"/>
    <w:rsid w:val="00CA6289"/>
    <w:rsid w:val="00CB5C0E"/>
    <w:rsid w:val="00CC5174"/>
    <w:rsid w:val="00CD1647"/>
    <w:rsid w:val="00D072D4"/>
    <w:rsid w:val="00D1165C"/>
    <w:rsid w:val="00D14B5D"/>
    <w:rsid w:val="00D16BD8"/>
    <w:rsid w:val="00D32AB8"/>
    <w:rsid w:val="00D57C30"/>
    <w:rsid w:val="00D6515A"/>
    <w:rsid w:val="00D70975"/>
    <w:rsid w:val="00D768C3"/>
    <w:rsid w:val="00DB1FF8"/>
    <w:rsid w:val="00DF366C"/>
    <w:rsid w:val="00E33516"/>
    <w:rsid w:val="00E33EB6"/>
    <w:rsid w:val="00E34C45"/>
    <w:rsid w:val="00E52DC3"/>
    <w:rsid w:val="00E54AF0"/>
    <w:rsid w:val="00E7073C"/>
    <w:rsid w:val="00E83C39"/>
    <w:rsid w:val="00E960EB"/>
    <w:rsid w:val="00EB4F37"/>
    <w:rsid w:val="00EC7742"/>
    <w:rsid w:val="00F04034"/>
    <w:rsid w:val="00F04F9F"/>
    <w:rsid w:val="00F208DC"/>
    <w:rsid w:val="00F2098D"/>
    <w:rsid w:val="00F474EE"/>
    <w:rsid w:val="00F7110B"/>
    <w:rsid w:val="00F77F1A"/>
    <w:rsid w:val="00FB0033"/>
    <w:rsid w:val="00FB117E"/>
    <w:rsid w:val="00FC0A41"/>
    <w:rsid w:val="00FD7471"/>
    <w:rsid w:val="00FE7A3B"/>
    <w:rsid w:val="021E54EA"/>
    <w:rsid w:val="05454B7B"/>
    <w:rsid w:val="05621879"/>
    <w:rsid w:val="05791EDF"/>
    <w:rsid w:val="05995A1B"/>
    <w:rsid w:val="05D7360B"/>
    <w:rsid w:val="06446CDF"/>
    <w:rsid w:val="090C5BC3"/>
    <w:rsid w:val="09570303"/>
    <w:rsid w:val="09E84844"/>
    <w:rsid w:val="0ADC421E"/>
    <w:rsid w:val="0B84682E"/>
    <w:rsid w:val="0BCE0F38"/>
    <w:rsid w:val="0C671021"/>
    <w:rsid w:val="0D1B3FAC"/>
    <w:rsid w:val="0E3C1CFB"/>
    <w:rsid w:val="0E8E0B63"/>
    <w:rsid w:val="10230D2C"/>
    <w:rsid w:val="10293F0A"/>
    <w:rsid w:val="112E1DCF"/>
    <w:rsid w:val="14A03E0A"/>
    <w:rsid w:val="157A0278"/>
    <w:rsid w:val="16B9038D"/>
    <w:rsid w:val="17123F41"/>
    <w:rsid w:val="171E71D3"/>
    <w:rsid w:val="17607969"/>
    <w:rsid w:val="17611EBC"/>
    <w:rsid w:val="17AD3792"/>
    <w:rsid w:val="19393A07"/>
    <w:rsid w:val="19715DA6"/>
    <w:rsid w:val="19787465"/>
    <w:rsid w:val="1B2245D0"/>
    <w:rsid w:val="1B3067D5"/>
    <w:rsid w:val="1C754B6B"/>
    <w:rsid w:val="1D644DCB"/>
    <w:rsid w:val="1DC6338F"/>
    <w:rsid w:val="1E2D3026"/>
    <w:rsid w:val="1E33181D"/>
    <w:rsid w:val="1E746F80"/>
    <w:rsid w:val="1E871B96"/>
    <w:rsid w:val="1E88218A"/>
    <w:rsid w:val="210A018B"/>
    <w:rsid w:val="217E5E95"/>
    <w:rsid w:val="219F08C3"/>
    <w:rsid w:val="2573587F"/>
    <w:rsid w:val="26914E82"/>
    <w:rsid w:val="26C856ED"/>
    <w:rsid w:val="26FB67A0"/>
    <w:rsid w:val="27557B6D"/>
    <w:rsid w:val="288F53F1"/>
    <w:rsid w:val="28A14B47"/>
    <w:rsid w:val="28C0259A"/>
    <w:rsid w:val="28C25BD8"/>
    <w:rsid w:val="28C337B4"/>
    <w:rsid w:val="2C7679E1"/>
    <w:rsid w:val="2D874695"/>
    <w:rsid w:val="2DD65871"/>
    <w:rsid w:val="2E3B05E8"/>
    <w:rsid w:val="2F9F462B"/>
    <w:rsid w:val="2FFF0D30"/>
    <w:rsid w:val="30302C02"/>
    <w:rsid w:val="306C7012"/>
    <w:rsid w:val="308319F7"/>
    <w:rsid w:val="31336F5D"/>
    <w:rsid w:val="3156016D"/>
    <w:rsid w:val="32696CB3"/>
    <w:rsid w:val="32AD75CE"/>
    <w:rsid w:val="33D3501B"/>
    <w:rsid w:val="35E67DC1"/>
    <w:rsid w:val="35E67DDD"/>
    <w:rsid w:val="366B28CE"/>
    <w:rsid w:val="371D17D3"/>
    <w:rsid w:val="379D6315"/>
    <w:rsid w:val="38575800"/>
    <w:rsid w:val="39590649"/>
    <w:rsid w:val="39D3232E"/>
    <w:rsid w:val="3A32107A"/>
    <w:rsid w:val="3A9E5BDE"/>
    <w:rsid w:val="3BFD29B8"/>
    <w:rsid w:val="3CA24938"/>
    <w:rsid w:val="3D4D4866"/>
    <w:rsid w:val="3E9D7F0A"/>
    <w:rsid w:val="3EFA5BB1"/>
    <w:rsid w:val="3F7A3757"/>
    <w:rsid w:val="40A37DCA"/>
    <w:rsid w:val="41C913FD"/>
    <w:rsid w:val="43760FB2"/>
    <w:rsid w:val="43AD6CB3"/>
    <w:rsid w:val="44684A18"/>
    <w:rsid w:val="449D62F1"/>
    <w:rsid w:val="44CD30D2"/>
    <w:rsid w:val="46475B30"/>
    <w:rsid w:val="469B7DB9"/>
    <w:rsid w:val="46BE4C18"/>
    <w:rsid w:val="46C51386"/>
    <w:rsid w:val="471643FC"/>
    <w:rsid w:val="471A42B8"/>
    <w:rsid w:val="477210A2"/>
    <w:rsid w:val="47AA7A38"/>
    <w:rsid w:val="486528DB"/>
    <w:rsid w:val="493506F4"/>
    <w:rsid w:val="49512962"/>
    <w:rsid w:val="495C4A24"/>
    <w:rsid w:val="499F0B59"/>
    <w:rsid w:val="4A367CE6"/>
    <w:rsid w:val="4D732064"/>
    <w:rsid w:val="4DC14ADD"/>
    <w:rsid w:val="4F513C18"/>
    <w:rsid w:val="4FA312D5"/>
    <w:rsid w:val="4FB20726"/>
    <w:rsid w:val="4FD42CC0"/>
    <w:rsid w:val="52523D40"/>
    <w:rsid w:val="534313A9"/>
    <w:rsid w:val="54604A42"/>
    <w:rsid w:val="54803BF2"/>
    <w:rsid w:val="54881B3B"/>
    <w:rsid w:val="55915B20"/>
    <w:rsid w:val="56605AA3"/>
    <w:rsid w:val="57D02949"/>
    <w:rsid w:val="582523FF"/>
    <w:rsid w:val="582561C5"/>
    <w:rsid w:val="59BA1006"/>
    <w:rsid w:val="59D15240"/>
    <w:rsid w:val="5A8F7DDB"/>
    <w:rsid w:val="5B3463B7"/>
    <w:rsid w:val="5C5C5AF3"/>
    <w:rsid w:val="5E2F6E1E"/>
    <w:rsid w:val="5EC41EA1"/>
    <w:rsid w:val="60052390"/>
    <w:rsid w:val="60C56EFB"/>
    <w:rsid w:val="60FD112F"/>
    <w:rsid w:val="61B961FB"/>
    <w:rsid w:val="621D6782"/>
    <w:rsid w:val="624355EC"/>
    <w:rsid w:val="6316383A"/>
    <w:rsid w:val="640D520C"/>
    <w:rsid w:val="650E086A"/>
    <w:rsid w:val="66E36E14"/>
    <w:rsid w:val="67013A06"/>
    <w:rsid w:val="67475F93"/>
    <w:rsid w:val="67E01479"/>
    <w:rsid w:val="680A50F2"/>
    <w:rsid w:val="68252901"/>
    <w:rsid w:val="68BC0D3A"/>
    <w:rsid w:val="68D45F2D"/>
    <w:rsid w:val="6BD72D05"/>
    <w:rsid w:val="6C8F4564"/>
    <w:rsid w:val="6E2F31E2"/>
    <w:rsid w:val="6EA83909"/>
    <w:rsid w:val="70060BBC"/>
    <w:rsid w:val="70104BD7"/>
    <w:rsid w:val="70A8061F"/>
    <w:rsid w:val="713720E7"/>
    <w:rsid w:val="717E391E"/>
    <w:rsid w:val="71E54E7D"/>
    <w:rsid w:val="720A1228"/>
    <w:rsid w:val="722701D5"/>
    <w:rsid w:val="72541274"/>
    <w:rsid w:val="726B6343"/>
    <w:rsid w:val="7307553A"/>
    <w:rsid w:val="738B4E1F"/>
    <w:rsid w:val="73B5270D"/>
    <w:rsid w:val="747544B0"/>
    <w:rsid w:val="75401415"/>
    <w:rsid w:val="758F7BB5"/>
    <w:rsid w:val="77C23F98"/>
    <w:rsid w:val="780950BD"/>
    <w:rsid w:val="785F689E"/>
    <w:rsid w:val="78741648"/>
    <w:rsid w:val="795169E5"/>
    <w:rsid w:val="7A5E70C1"/>
    <w:rsid w:val="7A7538A0"/>
    <w:rsid w:val="7AB714F5"/>
    <w:rsid w:val="7AEC799E"/>
    <w:rsid w:val="7AF41F60"/>
    <w:rsid w:val="7C1D0DBF"/>
    <w:rsid w:val="7C596A4B"/>
    <w:rsid w:val="7CBF7DF6"/>
    <w:rsid w:val="7CC16F93"/>
    <w:rsid w:val="7D047A6C"/>
    <w:rsid w:val="7DD853F5"/>
    <w:rsid w:val="7E8D6272"/>
    <w:rsid w:val="7EC17A0B"/>
    <w:rsid w:val="7F2A6C83"/>
    <w:rsid w:val="7F5C59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A8028"/>
  <w15:docId w15:val="{912AFA03-883B-4BCB-AA35-0409523A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iPriority w:val="99"/>
    <w:semiHidden/>
    <w:unhideWhenUsed/>
    <w:qFormat/>
    <w:pPr>
      <w:jc w:val="center"/>
    </w:pPr>
    <w:rPr>
      <w:rFonts w:ascii="Times New Roman" w:eastAsia="宋体" w:hAnsi="Times New Roman" w:cs="Times New Roman"/>
      <w:sz w:val="24"/>
    </w:rPr>
  </w:style>
  <w:style w:type="paragraph" w:styleId="a4">
    <w:name w:val="annotation text"/>
    <w:basedOn w:val="a"/>
    <w:link w:val="a5"/>
    <w:semiHidden/>
    <w:unhideWhenUsed/>
    <w:qFormat/>
    <w:pPr>
      <w:jc w:val="left"/>
    </w:pPr>
  </w:style>
  <w:style w:type="paragraph" w:styleId="a6">
    <w:name w:val="Plain Text"/>
    <w:basedOn w:val="a"/>
    <w:link w:val="a7"/>
    <w:qFormat/>
    <w:pPr>
      <w:autoSpaceDE w:val="0"/>
      <w:autoSpaceDN w:val="0"/>
      <w:adjustRightInd w:val="0"/>
      <w:spacing w:line="312" w:lineRule="atLeast"/>
      <w:textAlignment w:val="baseline"/>
    </w:pPr>
    <w:rPr>
      <w:rFonts w:ascii="Courier New" w:eastAsia="宋体" w:hAnsi="Courier New"/>
      <w:kern w:val="0"/>
      <w:szCs w:val="20"/>
    </w:rPr>
  </w:style>
  <w:style w:type="paragraph" w:styleId="a8">
    <w:name w:val="Balloon Text"/>
    <w:basedOn w:val="a"/>
    <w:link w:val="a9"/>
    <w:autoRedefine/>
    <w:semiHidden/>
    <w:unhideWhenUsed/>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autoRedefine/>
    <w:semiHidden/>
    <w:unhideWhenUsed/>
    <w:qFormat/>
    <w:rPr>
      <w:b/>
      <w:bCs/>
    </w:rPr>
  </w:style>
  <w:style w:type="table" w:styleId="af0">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autoRedefine/>
    <w:semiHidden/>
    <w:unhideWhenUsed/>
    <w:qFormat/>
    <w:rPr>
      <w:sz w:val="21"/>
      <w:szCs w:val="21"/>
    </w:rPr>
  </w:style>
  <w:style w:type="paragraph" w:customStyle="1" w:styleId="-">
    <w:name w:val="模板-正文"/>
    <w:autoRedefine/>
    <w:uiPriority w:val="99"/>
    <w:qFormat/>
    <w:pPr>
      <w:widowControl w:val="0"/>
      <w:autoSpaceDN w:val="0"/>
      <w:adjustRightInd w:val="0"/>
      <w:snapToGrid w:val="0"/>
      <w:spacing w:line="360" w:lineRule="auto"/>
      <w:ind w:firstLineChars="200" w:firstLine="560"/>
      <w:jc w:val="both"/>
    </w:pPr>
    <w:rPr>
      <w:rFonts w:ascii="Calibri" w:eastAsia="楷体_GB2312" w:hAnsi="Calibri" w:cstheme="minorBidi"/>
      <w:kern w:val="2"/>
      <w:sz w:val="28"/>
      <w:szCs w:val="28"/>
    </w:rPr>
  </w:style>
  <w:style w:type="character" w:customStyle="1" w:styleId="ad">
    <w:name w:val="页眉 字符"/>
    <w:basedOn w:val="a0"/>
    <w:link w:val="ac"/>
    <w:autoRedefine/>
    <w:qFormat/>
    <w:rPr>
      <w:kern w:val="2"/>
      <w:sz w:val="18"/>
      <w:szCs w:val="18"/>
    </w:rPr>
  </w:style>
  <w:style w:type="character" w:customStyle="1" w:styleId="ab">
    <w:name w:val="页脚 字符"/>
    <w:basedOn w:val="a0"/>
    <w:link w:val="aa"/>
    <w:autoRedefine/>
    <w:uiPriority w:val="99"/>
    <w:qFormat/>
    <w:rPr>
      <w:kern w:val="2"/>
      <w:sz w:val="18"/>
      <w:szCs w:val="18"/>
    </w:rPr>
  </w:style>
  <w:style w:type="character" w:customStyle="1" w:styleId="a7">
    <w:name w:val="纯文本 字符"/>
    <w:link w:val="a6"/>
    <w:autoRedefine/>
    <w:qFormat/>
    <w:rPr>
      <w:rFonts w:ascii="Courier New" w:eastAsia="宋体" w:hAnsi="Courier New"/>
      <w:sz w:val="21"/>
    </w:rPr>
  </w:style>
  <w:style w:type="character" w:customStyle="1" w:styleId="1">
    <w:name w:val="纯文本 字符1"/>
    <w:basedOn w:val="a0"/>
    <w:autoRedefine/>
    <w:semiHidden/>
    <w:qFormat/>
    <w:rPr>
      <w:rFonts w:asciiTheme="minorEastAsia" w:hAnsi="Courier New" w:cs="Courier New"/>
      <w:kern w:val="2"/>
      <w:sz w:val="21"/>
      <w:szCs w:val="24"/>
    </w:rPr>
  </w:style>
  <w:style w:type="character" w:customStyle="1" w:styleId="a9">
    <w:name w:val="批注框文本 字符"/>
    <w:basedOn w:val="a0"/>
    <w:link w:val="a8"/>
    <w:autoRedefine/>
    <w:semiHidden/>
    <w:qFormat/>
    <w:rPr>
      <w:rFonts w:asciiTheme="minorHAnsi" w:eastAsiaTheme="minorEastAsia" w:hAnsiTheme="minorHAnsi" w:cstheme="minorBidi"/>
      <w:kern w:val="2"/>
      <w:sz w:val="18"/>
      <w:szCs w:val="18"/>
    </w:rPr>
  </w:style>
  <w:style w:type="paragraph" w:customStyle="1" w:styleId="10">
    <w:name w:val="修订1"/>
    <w:autoRedefine/>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autoRedefine/>
    <w:semiHidden/>
    <w:qFormat/>
    <w:rPr>
      <w:rFonts w:asciiTheme="minorHAnsi" w:eastAsiaTheme="minorEastAsia" w:hAnsiTheme="minorHAnsi" w:cstheme="minorBidi"/>
      <w:kern w:val="2"/>
      <w:sz w:val="21"/>
      <w:szCs w:val="24"/>
    </w:rPr>
  </w:style>
  <w:style w:type="character" w:customStyle="1" w:styleId="af">
    <w:name w:val="批注主题 字符"/>
    <w:basedOn w:val="a5"/>
    <w:link w:val="ae"/>
    <w:autoRedefine/>
    <w:semiHidden/>
    <w:qFormat/>
    <w:rPr>
      <w:rFonts w:asciiTheme="minorHAnsi" w:eastAsiaTheme="minorEastAsia" w:hAnsiTheme="minorHAnsi" w:cstheme="minorBidi"/>
      <w:b/>
      <w:bCs/>
      <w:kern w:val="2"/>
      <w:sz w:val="21"/>
      <w:szCs w:val="24"/>
    </w:rPr>
  </w:style>
  <w:style w:type="paragraph" w:customStyle="1" w:styleId="zw">
    <w:name w:val="zw"/>
    <w:basedOn w:val="a"/>
    <w:qFormat/>
    <w:pPr>
      <w:adjustRightInd w:val="0"/>
      <w:spacing w:line="360" w:lineRule="auto"/>
      <w:ind w:firstLine="482"/>
      <w:textAlignment w:val="baseline"/>
    </w:pPr>
    <w:rPr>
      <w:rFonts w:ascii="Arial Narrow" w:eastAsia="楷体_GB2312" w:hAnsi="Arial Narrow"/>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1016</Words>
  <Characters>1038</Characters>
  <Application>Microsoft Office Word</Application>
  <DocSecurity>0</DocSecurity>
  <Lines>47</Lines>
  <Paragraphs>54</Paragraphs>
  <ScaleCrop>false</ScaleCrop>
  <Company>Microsoft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凡 汤</cp:lastModifiedBy>
  <cp:revision>7</cp:revision>
  <cp:lastPrinted>2023-01-28T02:37:00Z</cp:lastPrinted>
  <dcterms:created xsi:type="dcterms:W3CDTF">2024-12-19T07:32:00Z</dcterms:created>
  <dcterms:modified xsi:type="dcterms:W3CDTF">2026-03-13T01:18:00Z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CDA8735C2EE34FB5AB2D5A02D96B9DD2</vt:lpwstr>
  </property>
</Properties>
</file>