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5089">
      <w:pPr>
        <w:jc w:val="center"/>
        <w:rPr>
          <w:rFonts w:ascii="宋体" w:hAnsi="宋体" w:eastAsia="宋体"/>
          <w:sz w:val="32"/>
          <w:szCs w:val="32"/>
        </w:rPr>
      </w:pPr>
    </w:p>
    <w:p w14:paraId="75E10C07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6131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6FDC2AD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  <w:p w14:paraId="6191EB17">
            <w:pPr>
              <w:rPr>
                <w:rFonts w:hint="default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南京中医药大学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网络思政工作室办公家具</w:t>
            </w:r>
          </w:p>
        </w:tc>
      </w:tr>
      <w:tr w14:paraId="132C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D23436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249EE58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老师</w:t>
            </w:r>
          </w:p>
        </w:tc>
        <w:tc>
          <w:tcPr>
            <w:tcW w:w="1701" w:type="dxa"/>
          </w:tcPr>
          <w:p w14:paraId="1A42DEA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0A7DA54F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025-85811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991</w:t>
            </w:r>
          </w:p>
        </w:tc>
      </w:tr>
      <w:tr w14:paraId="69E3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7BC963A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6C24B29">
            <w:pPr>
              <w:ind w:firstLine="1400" w:firstLineChars="5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19460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元</w:t>
            </w:r>
          </w:p>
        </w:tc>
      </w:tr>
      <w:tr w14:paraId="49A1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296" w:type="dxa"/>
            <w:gridSpan w:val="5"/>
          </w:tcPr>
          <w:p w14:paraId="3957666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网络思政工作室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需要</w:t>
            </w:r>
          </w:p>
        </w:tc>
      </w:tr>
      <w:tr w14:paraId="4106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5B91ED4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本项目免费质保期不少于五年。</w:t>
            </w:r>
          </w:p>
          <w:p w14:paraId="20A6CF6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成交后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天内供货安装完成。</w:t>
            </w:r>
          </w:p>
          <w:p w14:paraId="0601125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 w14:paraId="0A33F1F3">
            <w:pPr>
              <w:numPr>
                <w:ilvl w:val="0"/>
                <w:numId w:val="1"/>
              </w:num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会议桌（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张）</w:t>
            </w:r>
          </w:p>
          <w:p w14:paraId="11C67E8B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800mm×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00mm×7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0mm</w:t>
            </w:r>
          </w:p>
          <w:p w14:paraId="129270DD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3815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1.桌面：40mm厚实木大板，甲醛释放量≤0.05mg/m³，同色油漆封边；</w:t>
            </w:r>
          </w:p>
          <w:p w14:paraId="06C1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2.桌架：2.0mm厚冷轧钢经过中性洗剂去锈，表面纳米陶化处理，喷环保环氧树脂粉末油漆</w:t>
            </w:r>
          </w:p>
          <w:p w14:paraId="08AC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涂层的冲击强度：冲击高度400mm，应无脱落、裂纹和皱纹；(提供漆膜冲击试验仪)</w:t>
            </w:r>
          </w:p>
          <w:p w14:paraId="3C20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涂层硬度≥H（提供漆膜硬度测试仪、铅笔和试板等）；</w:t>
            </w:r>
          </w:p>
          <w:p w14:paraId="6C2F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涂层附着力≥2级（提供附着力测试的刀片、毛刷和胶粘带）；</w:t>
            </w:r>
          </w:p>
          <w:p w14:paraId="0B21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口型脚切面为不小于80*80mm方钢管。</w:t>
            </w:r>
          </w:p>
          <w:p w14:paraId="3FEE37DE">
            <w:pPr>
              <w:jc w:val="center"/>
            </w:pPr>
          </w:p>
          <w:p w14:paraId="3062826D">
            <w:pPr>
              <w:jc w:val="left"/>
            </w:pPr>
            <w:r>
              <w:drawing>
                <wp:inline distT="0" distB="0" distL="114300" distR="114300">
                  <wp:extent cx="3935730" cy="3352165"/>
                  <wp:effectExtent l="0" t="0" r="11430" b="635"/>
                  <wp:docPr id="105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730" cy="335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1BC45">
            <w:pPr>
              <w:jc w:val="center"/>
            </w:pPr>
          </w:p>
          <w:p w14:paraId="6FAA6F15">
            <w:pPr>
              <w:numPr>
                <w:ilvl w:val="0"/>
                <w:numId w:val="1"/>
              </w:num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会议椅（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12个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</w:t>
            </w:r>
          </w:p>
          <w:p w14:paraId="441552C4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580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mm×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520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mm×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820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</w:p>
          <w:p w14:paraId="2754BDFC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10A6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木材：白蜡木，纹理清晰自然，不易开裂变形，稳固承重不摇晃；</w:t>
            </w:r>
          </w:p>
          <w:p w14:paraId="3CBB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涂料：净味环保木器漆，“五底三面”工艺，色泽饱满，不褪色，无异味。</w:t>
            </w:r>
          </w:p>
          <w:p w14:paraId="6149CBF7">
            <w:pPr>
              <w:jc w:val="left"/>
            </w:pPr>
          </w:p>
          <w:p w14:paraId="751FDFE8">
            <w:pPr>
              <w:jc w:val="left"/>
            </w:pPr>
          </w:p>
          <w:p w14:paraId="44AAEF8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三、办公桌（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张)</w:t>
            </w:r>
          </w:p>
          <w:p w14:paraId="04164F85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1400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mm×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00mm×7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0mm</w:t>
            </w:r>
          </w:p>
          <w:p w14:paraId="696D3BF9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7597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基材：采用优质三聚氰胺板，宽度、长度允许偏差±1.5mm，含水率≤8%，表面胶合强度≥1.0MPa，密度≥0.76g/cm3，表面耐磨磨耗值≤50mg/100r，表面耐香烟灼烧达到4级以上，表面耐干热达到4级以上，表面耐水蒸气达到4级以上，耐光色牢度大于或等于灰度卡4级，甲醛释放量≤0.02mg/m3，总挥发性有机化合物TVOC≤20㎍/m3，防霉菌性能不低于1级，燃烧性能达到B1级，符合GB 18580-2017《室内装饰装修材料人造板及其制品中甲醛释放限量》，GB/T 35601-2017《绿色产品评价 人造板和木质地板》、JC/T 2039-2010《抗菌防霉木质装饰板》、GB 8624-2012《建筑材料及制品燃烧性能分级》标准。</w:t>
            </w:r>
          </w:p>
          <w:p w14:paraId="182D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2.封边：选用优质PVC封边条，厚度≥1.5mm，甲醛释放量≤0.2mg/L，可迁移元素（可溶性重金属）：铅Pb≤8mg/kg； 镉Cd≤2mg/kg； 铬Cr≤3mg/kg；汞Hg≤1mg/kg；砷As≤2mg/kg；钡Ba≤2mg/kg；硒Se≤35mg/kg，符合 QB/T 4463-2013《家具用封边条技术要求》标准，封边平滑，颜色与板材一致。 </w:t>
            </w:r>
          </w:p>
          <w:p w14:paraId="6C22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3.热熔胶：选用优质品牌环保热熔胶，粘性强，久不分层，具有防水性、防潮性、耐油性、耐撞性等特点，总挥发性有机物含量≤10g/L，苯未检出，甲苯+乙苯+二甲苯未检出，符合HJ 2541-2016《环境标志产品技术要求 胶粘剂》标准。 </w:t>
            </w:r>
          </w:p>
          <w:p w14:paraId="41F69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4.五金配件：采用优质品牌五金配件，无锈蚀，具有足够的承载能力、耐腐蚀能力。</w:t>
            </w:r>
          </w:p>
          <w:p w14:paraId="6F0C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BA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3997325" cy="2362835"/>
                  <wp:effectExtent l="0" t="0" r="10795" b="14605"/>
                  <wp:docPr id="105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325" cy="236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6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FE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A3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53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924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4A9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47ABD1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茶水柜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张)</w:t>
            </w:r>
          </w:p>
          <w:p w14:paraId="708EFA2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drawing>
                <wp:inline distT="0" distB="0" distL="114300" distR="114300">
                  <wp:extent cx="3238500" cy="3001645"/>
                  <wp:effectExtent l="0" t="0" r="7620" b="635"/>
                  <wp:docPr id="105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300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39CD4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mm×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00mm×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</w:p>
          <w:p w14:paraId="3E4E57E5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2D04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基材：采用优质三聚氰胺板，宽度、长度允许偏差±1.5mm，含水率≤8%，表面胶合强度≥1.0MPa，密度≥0.76g/cm3，表面耐磨磨耗值≤50mg/100r，表面耐香烟灼烧达到4级以上，表面耐干热达到4级以上，表面耐水蒸气达到4级以上，耐光色牢度大于或等于灰度卡4级，甲醛释放量≤0.02mg/m3，总挥发性有机化合物TVOC≤20㎍/m3，防霉菌性能不低于1级，燃烧性能达到B1级，符合GB 18580-2017《室内装饰装修材料人造板及其制品中甲醛释放限量》，GB/T 35601-2017《绿色产品评价 人造板和木质地板》、JC/T 2039-2010《抗菌防霉木质装饰板》、GB 8624-2012《建筑材料及制品燃烧性能分级》标准。</w:t>
            </w:r>
          </w:p>
          <w:p w14:paraId="057C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2.封边：选用优质PVC封边条，厚度≥1.5mm，甲醛释放量≤0.2mg/L，可迁移元素（可溶性重金属）：铅Pb≤8mg/kg； 镉Cd≤2mg/kg； 铬Cr≤3mg/kg；汞Hg≤1mg/kg；砷As≤2mg/kg；钡Ba≤2mg/kg；硒Se≤35mg/kg，符合 QB/T 4463-2013《家具用封边条技术要求》标准，封边平滑，颜色与板材一致。 </w:t>
            </w:r>
          </w:p>
          <w:p w14:paraId="4790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3.热熔胶：选用优质品牌环保热熔胶，粘性强，久不分层，具有防水性、防潮性、耐油性、耐撞性等特点，总挥发性有机物含量≤10g/L，苯未检出，甲苯+乙苯+二甲苯未检出，符合HJ 2541-2016《环境标志产品技术要求 胶粘剂》标准。 </w:t>
            </w:r>
          </w:p>
          <w:p w14:paraId="2243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4.五金配件：采用优质品牌五金配件，无锈蚀，具有足够的承载能力、耐腐蚀能力。</w:t>
            </w:r>
          </w:p>
          <w:p w14:paraId="3ABEAF1B">
            <w:pPr>
              <w:ind w:firstLine="562" w:firstLineChars="200"/>
              <w:rPr>
                <w:rFonts w:ascii="宋体" w:hAnsi="宋体" w:eastAsia="宋体"/>
                <w:b/>
                <w:bCs/>
                <w:color w:val="C00000"/>
                <w:sz w:val="28"/>
                <w:szCs w:val="28"/>
              </w:rPr>
            </w:pPr>
          </w:p>
          <w:p w14:paraId="77092397">
            <w:pPr>
              <w:ind w:firstLine="420" w:firstLineChars="200"/>
              <w:rPr>
                <w:rFonts w:ascii="宋体" w:hAnsi="宋体" w:eastAsia="宋体"/>
                <w:u w:val="single"/>
              </w:rPr>
            </w:pPr>
          </w:p>
          <w:p w14:paraId="2405A228">
            <w:pPr>
              <w:ind w:firstLine="420" w:firstLineChars="200"/>
              <w:rPr>
                <w:rFonts w:ascii="宋体" w:hAnsi="宋体" w:eastAsia="宋体"/>
                <w:u w:val="single"/>
              </w:rPr>
            </w:pPr>
          </w:p>
          <w:p w14:paraId="753874EB">
            <w:pPr>
              <w:ind w:firstLine="420" w:firstLineChars="200"/>
              <w:rPr>
                <w:rFonts w:ascii="宋体" w:hAnsi="宋体" w:eastAsia="宋体"/>
                <w:u w:val="single"/>
              </w:rPr>
            </w:pPr>
          </w:p>
        </w:tc>
      </w:tr>
    </w:tbl>
    <w:p w14:paraId="286010C3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DD347"/>
    <w:multiLevelType w:val="singleLevel"/>
    <w:tmpl w:val="F97DD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27417"/>
    <w:rsid w:val="00077372"/>
    <w:rsid w:val="0010168B"/>
    <w:rsid w:val="00101889"/>
    <w:rsid w:val="0011746F"/>
    <w:rsid w:val="00130E5E"/>
    <w:rsid w:val="003372BD"/>
    <w:rsid w:val="0038127A"/>
    <w:rsid w:val="00454E0F"/>
    <w:rsid w:val="00475F6F"/>
    <w:rsid w:val="0049207B"/>
    <w:rsid w:val="005234F4"/>
    <w:rsid w:val="005B0BE9"/>
    <w:rsid w:val="0068033E"/>
    <w:rsid w:val="00695BA9"/>
    <w:rsid w:val="00722FDD"/>
    <w:rsid w:val="007B0DEC"/>
    <w:rsid w:val="007C0E4C"/>
    <w:rsid w:val="00846513"/>
    <w:rsid w:val="0085369C"/>
    <w:rsid w:val="0090363B"/>
    <w:rsid w:val="009917FC"/>
    <w:rsid w:val="009D0754"/>
    <w:rsid w:val="00A036F7"/>
    <w:rsid w:val="00A7772A"/>
    <w:rsid w:val="00AD6B0A"/>
    <w:rsid w:val="00B5081E"/>
    <w:rsid w:val="00B65815"/>
    <w:rsid w:val="00BB297B"/>
    <w:rsid w:val="00BF4609"/>
    <w:rsid w:val="00C65EBB"/>
    <w:rsid w:val="00C944EA"/>
    <w:rsid w:val="00CA714D"/>
    <w:rsid w:val="00D63DCE"/>
    <w:rsid w:val="00DB5C51"/>
    <w:rsid w:val="00E9242E"/>
    <w:rsid w:val="00EF17C4"/>
    <w:rsid w:val="00F06A8F"/>
    <w:rsid w:val="00F539E0"/>
    <w:rsid w:val="00F5571C"/>
    <w:rsid w:val="0CEE4831"/>
    <w:rsid w:val="0F677702"/>
    <w:rsid w:val="122A2CC0"/>
    <w:rsid w:val="17560515"/>
    <w:rsid w:val="1A3B7CEC"/>
    <w:rsid w:val="1DD2341D"/>
    <w:rsid w:val="1E117218"/>
    <w:rsid w:val="1FC77A03"/>
    <w:rsid w:val="20D811FE"/>
    <w:rsid w:val="215A22C8"/>
    <w:rsid w:val="21C53C9B"/>
    <w:rsid w:val="22F54D73"/>
    <w:rsid w:val="302C6EB9"/>
    <w:rsid w:val="329300A2"/>
    <w:rsid w:val="34244265"/>
    <w:rsid w:val="3BA66DBB"/>
    <w:rsid w:val="3CC419E9"/>
    <w:rsid w:val="411E49D3"/>
    <w:rsid w:val="4402732C"/>
    <w:rsid w:val="44FF492C"/>
    <w:rsid w:val="45976EB0"/>
    <w:rsid w:val="47E82E09"/>
    <w:rsid w:val="4A801779"/>
    <w:rsid w:val="4B9112FF"/>
    <w:rsid w:val="4D35631E"/>
    <w:rsid w:val="53266908"/>
    <w:rsid w:val="53AA63E5"/>
    <w:rsid w:val="57C55F53"/>
    <w:rsid w:val="58365CAB"/>
    <w:rsid w:val="5B531C28"/>
    <w:rsid w:val="5BAD4DF3"/>
    <w:rsid w:val="60AE0C4D"/>
    <w:rsid w:val="61031871"/>
    <w:rsid w:val="62F44105"/>
    <w:rsid w:val="671A47F3"/>
    <w:rsid w:val="697B6C18"/>
    <w:rsid w:val="6BBD1A0A"/>
    <w:rsid w:val="765061E9"/>
    <w:rsid w:val="76552A4E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8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8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5</Pages>
  <Words>1377</Words>
  <Characters>1810</Characters>
  <Lines>13</Lines>
  <Paragraphs>3</Paragraphs>
  <TotalTime>0</TotalTime>
  <ScaleCrop>false</ScaleCrop>
  <LinksUpToDate>false</LinksUpToDate>
  <CharactersWithSpaces>1837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2024-07-05T08:51:00Z</dcterms:created>
  <dc:creator>汤凡</dc:creator>
  <cp:lastModifiedBy>廖佳</cp:lastModifiedBy>
  <cp:lastPrinted>2024-07-05T09:27:00Z</cp:lastPrinted>
  <dcterms:modified xsi:type="dcterms:W3CDTF">2024-09-14T05:32:29Z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8CCCBFBF461445A0A45796B34A13E411_13</vt:lpwstr>
  </property>
</Properties>
</file>