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5C7" w:rsidRDefault="00B1633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935C7">
        <w:trPr>
          <w:trHeight w:val="368"/>
        </w:trPr>
        <w:tc>
          <w:tcPr>
            <w:tcW w:w="1413" w:type="dxa"/>
          </w:tcPr>
          <w:p w:rsidR="008935C7" w:rsidRDefault="00B163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935C7" w:rsidRDefault="00B16337">
            <w:r>
              <w:rPr>
                <w:rFonts w:hint="eastAsia"/>
              </w:rPr>
              <w:t>电子天平</w:t>
            </w:r>
            <w:r w:rsidR="00734AF0">
              <w:rPr>
                <w:rFonts w:hint="eastAsia"/>
              </w:rPr>
              <w:t>(</w:t>
            </w:r>
            <w:r w:rsidR="00734AF0">
              <w:t>2台</w:t>
            </w:r>
            <w:r w:rsidR="00734AF0">
              <w:rPr>
                <w:rFonts w:hint="eastAsia"/>
              </w:rPr>
              <w:t>)</w:t>
            </w:r>
          </w:p>
        </w:tc>
        <w:tc>
          <w:tcPr>
            <w:tcW w:w="1418" w:type="dxa"/>
          </w:tcPr>
          <w:p w:rsidR="008935C7" w:rsidRDefault="00B163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935C7" w:rsidRDefault="00734AF0">
            <w:r>
              <w:rPr>
                <w:rFonts w:hint="eastAsia"/>
              </w:rPr>
              <w:t>8</w:t>
            </w:r>
            <w:r>
              <w:t>0005880</w:t>
            </w:r>
          </w:p>
        </w:tc>
      </w:tr>
      <w:tr w:rsidR="008935C7">
        <w:trPr>
          <w:trHeight w:val="433"/>
        </w:trPr>
        <w:tc>
          <w:tcPr>
            <w:tcW w:w="2830" w:type="dxa"/>
            <w:gridSpan w:val="2"/>
          </w:tcPr>
          <w:p w:rsidR="008935C7" w:rsidRDefault="00B163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935C7" w:rsidRDefault="00B16337">
            <w:r>
              <w:rPr>
                <w:rFonts w:hint="eastAsia"/>
              </w:rPr>
              <w:t>BSA224S</w:t>
            </w:r>
          </w:p>
        </w:tc>
      </w:tr>
      <w:tr w:rsidR="008935C7">
        <w:trPr>
          <w:trHeight w:val="1079"/>
        </w:trPr>
        <w:tc>
          <w:tcPr>
            <w:tcW w:w="8296" w:type="dxa"/>
            <w:gridSpan w:val="5"/>
          </w:tcPr>
          <w:p w:rsidR="008935C7" w:rsidRDefault="00B163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935C7" w:rsidRDefault="00B16337">
            <w:pPr>
              <w:ind w:firstLineChars="200" w:firstLine="480"/>
            </w:pPr>
            <w:r>
              <w:rPr>
                <w:rFonts w:hint="eastAsia"/>
              </w:rPr>
              <w:t>用于样品称量</w:t>
            </w:r>
          </w:p>
        </w:tc>
      </w:tr>
      <w:tr w:rsidR="008935C7">
        <w:trPr>
          <w:trHeight w:val="7141"/>
        </w:trPr>
        <w:tc>
          <w:tcPr>
            <w:tcW w:w="8296" w:type="dxa"/>
            <w:gridSpan w:val="5"/>
          </w:tcPr>
          <w:p w:rsidR="008935C7" w:rsidRDefault="00B16337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最大量程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:220g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可读性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:0.1mg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超级双杠杆单体传感器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自动校准系统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前置水平仪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最新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SMT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技术，线路集成度更高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内置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RS-232C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接口，符合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GLP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标准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防静电涂层玻璃防风罩能有效地屏蔽外界静电荷的干扰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四级防震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五面玻璃防风罩，视野清晰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动态温度补偿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全自动故障诊断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超载保护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应用程序：计数、动物称量、百分比称量、净重求和、单位转换、合计、计算（乘、除）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*40MHz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高速微处理器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MC1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，测量结果更快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下部吊钩，满足大体积称量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密度直读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计算因子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*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左右除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皮键，满足不同使用习惯</w:t>
            </w:r>
          </w:p>
          <w:p w:rsidR="008935C7" w:rsidRDefault="00B16337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备注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;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配置天平打印机</w:t>
            </w:r>
          </w:p>
          <w:p w:rsidR="008935C7" w:rsidRPr="00B16337" w:rsidRDefault="008935C7" w:rsidP="00B16337"/>
          <w:p w:rsidR="00DC645A" w:rsidRDefault="00B16337" w:rsidP="00DC645A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8935C7" w:rsidRDefault="008935C7">
            <w:pPr>
              <w:spacing w:line="360" w:lineRule="auto"/>
            </w:pPr>
          </w:p>
        </w:tc>
      </w:tr>
    </w:tbl>
    <w:p w:rsidR="008935C7" w:rsidRDefault="008935C7" w:rsidP="00DC645A">
      <w:bookmarkStart w:id="0" w:name="_GoBack"/>
      <w:bookmarkEnd w:id="0"/>
    </w:p>
    <w:sectPr w:rsidR="008935C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34AF0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935C7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16337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C645A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4A565026"/>
    <w:rsid w:val="640924BD"/>
    <w:rsid w:val="79D0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89FB23-C19D-4D0C-A1D1-E4224BC06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2017-12-12T09:59:00Z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