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931" w:rsidRDefault="002A01D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182931">
        <w:trPr>
          <w:trHeight w:val="368"/>
        </w:trPr>
        <w:tc>
          <w:tcPr>
            <w:tcW w:w="1413" w:type="dxa"/>
          </w:tcPr>
          <w:p w:rsidR="00182931" w:rsidRDefault="002A01D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182931" w:rsidRDefault="002A01D6">
            <w:r>
              <w:rPr>
                <w:rFonts w:hint="eastAsia"/>
              </w:rPr>
              <w:t>药品强光照射试验箱</w:t>
            </w:r>
          </w:p>
        </w:tc>
        <w:tc>
          <w:tcPr>
            <w:tcW w:w="1418" w:type="dxa"/>
          </w:tcPr>
          <w:p w:rsidR="00182931" w:rsidRDefault="002A01D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182931" w:rsidRDefault="000040DE">
            <w:r>
              <w:rPr>
                <w:rFonts w:hint="eastAsia"/>
              </w:rPr>
              <w:t>80005890</w:t>
            </w:r>
          </w:p>
        </w:tc>
      </w:tr>
      <w:tr w:rsidR="00182931">
        <w:trPr>
          <w:trHeight w:val="433"/>
        </w:trPr>
        <w:tc>
          <w:tcPr>
            <w:tcW w:w="2830" w:type="dxa"/>
            <w:gridSpan w:val="2"/>
          </w:tcPr>
          <w:p w:rsidR="00182931" w:rsidRDefault="002A01D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182931" w:rsidRDefault="002A01D6">
            <w:r>
              <w:rPr>
                <w:rFonts w:hint="eastAsia"/>
              </w:rPr>
              <w:t xml:space="preserve">重庆永生SHH-200GD-2 </w:t>
            </w:r>
          </w:p>
        </w:tc>
      </w:tr>
      <w:tr w:rsidR="00182931">
        <w:trPr>
          <w:trHeight w:val="1079"/>
        </w:trPr>
        <w:tc>
          <w:tcPr>
            <w:tcW w:w="8296" w:type="dxa"/>
            <w:gridSpan w:val="5"/>
          </w:tcPr>
          <w:p w:rsidR="00182931" w:rsidRDefault="002A01D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182931" w:rsidRDefault="002A01D6">
            <w:pPr>
              <w:ind w:firstLineChars="200" w:firstLine="420"/>
            </w:pPr>
            <w: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AFAFA"/>
              </w:rPr>
              <w:t>药品稳定性考察影响因素试验，确定药物品质影响因素</w:t>
            </w:r>
          </w:p>
        </w:tc>
      </w:tr>
      <w:tr w:rsidR="00182931">
        <w:trPr>
          <w:trHeight w:val="7141"/>
        </w:trPr>
        <w:tc>
          <w:tcPr>
            <w:tcW w:w="8296" w:type="dxa"/>
            <w:gridSpan w:val="5"/>
          </w:tcPr>
          <w:p w:rsidR="00182931" w:rsidRDefault="002A01D6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182931" w:rsidRDefault="002A01D6">
            <w:pP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</w:pPr>
            <w: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  <w:t>产品专用于制药企业药品稳定性考察影响因素试验，确定药物品质影响因素。产品符合ICH，FDA和现行药典强光照射试验相关要求。产品优势包括能保证长期稳定的实验效果，噪音低且操作简便。 - 满足ICH: Q1B总照度≥1.2×106Lux.hr，近紫外能量不低于200w.hr/m2 - 满足2010年化学药物稳定性指导原则的强光照射试验 4500±500 Lux</w:t>
            </w:r>
          </w:p>
          <w:p w:rsidR="00182931" w:rsidRDefault="002A01D6">
            <w:pPr>
              <w:pStyle w:val="a7"/>
              <w:widowControl/>
              <w:shd w:val="clear" w:color="auto" w:fill="FFFFFF"/>
              <w:spacing w:beforeAutospacing="0" w:afterAutospacing="0"/>
              <w:rPr>
                <w:rFonts w:ascii="Tahoma" w:eastAsia="Tahoma" w:hAnsi="Tahoma" w:cs="Tahoma"/>
                <w:color w:val="555555"/>
                <w:sz w:val="21"/>
                <w:szCs w:val="21"/>
              </w:rPr>
            </w:pPr>
            <w: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  <w:t xml:space="preserve">* </w:t>
            </w:r>
            <w:r>
              <w:rPr>
                <w:rFonts w:ascii="Tahoma" w:hAnsi="Tahoma" w:cs="Tahoma" w:hint="eastAsia"/>
                <w:color w:val="555555"/>
                <w:sz w:val="21"/>
                <w:szCs w:val="21"/>
                <w:shd w:val="clear" w:color="auto" w:fill="FFFFFF"/>
              </w:rPr>
              <w:t>两</w:t>
            </w:r>
            <w: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  <w:t>层感光隔板</w:t>
            </w:r>
          </w:p>
          <w:p w:rsidR="00182931" w:rsidRDefault="002A01D6">
            <w:pPr>
              <w:pStyle w:val="a7"/>
              <w:widowControl/>
              <w:shd w:val="clear" w:color="auto" w:fill="FFFFFF"/>
              <w:spacing w:beforeAutospacing="0" w:afterAutospacing="0"/>
              <w:rPr>
                <w:rFonts w:ascii="Tahoma" w:eastAsia="Tahoma" w:hAnsi="Tahoma" w:cs="Tahoma"/>
                <w:color w:val="555555"/>
                <w:sz w:val="21"/>
                <w:szCs w:val="21"/>
              </w:rPr>
            </w:pPr>
            <w: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  <w:t>* 运行功率是设备恒定于25℃时实测结果</w:t>
            </w:r>
          </w:p>
          <w:p w:rsidR="00182931" w:rsidRDefault="002A01D6">
            <w:pPr>
              <w:pStyle w:val="a7"/>
              <w:widowControl/>
              <w:shd w:val="clear" w:color="auto" w:fill="FFFFFF"/>
              <w:spacing w:beforeAutospacing="0" w:afterAutospacing="0"/>
              <w:rPr>
                <w:rFonts w:ascii="Tahoma" w:eastAsia="Tahoma" w:hAnsi="Tahoma" w:cs="Tahoma"/>
                <w:color w:val="555555"/>
                <w:sz w:val="21"/>
                <w:szCs w:val="21"/>
              </w:rPr>
            </w:pPr>
            <w: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  <w:t>* 设备使用条件：环境温度：5~35℃； 环境湿度：≤85%R.H</w:t>
            </w:r>
          </w:p>
          <w:p w:rsidR="00182931" w:rsidRDefault="00182931">
            <w:pPr>
              <w:rPr>
                <w:rFonts w:ascii="Tahoma" w:eastAsia="Tahoma" w:hAnsi="Tahoma" w:cs="Tahoma"/>
                <w:color w:val="555555"/>
                <w:sz w:val="21"/>
                <w:szCs w:val="21"/>
                <w:shd w:val="clear" w:color="auto" w:fill="FFFFFF"/>
              </w:rPr>
            </w:pPr>
          </w:p>
          <w:p w:rsidR="00182931" w:rsidRDefault="00182931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182931" w:rsidRDefault="00182931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182931" w:rsidRDefault="00182931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182931" w:rsidRDefault="00182931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182931" w:rsidRDefault="00182931">
            <w:pPr>
              <w:ind w:leftChars="-1" w:left="324" w:hangingChars="136" w:hanging="326"/>
            </w:pPr>
          </w:p>
          <w:p w:rsidR="00207436" w:rsidRDefault="002A01D6" w:rsidP="00207436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</w:t>
            </w:r>
          </w:p>
          <w:p w:rsidR="00182931" w:rsidRDefault="00182931">
            <w:pPr>
              <w:spacing w:line="360" w:lineRule="auto"/>
            </w:pPr>
          </w:p>
        </w:tc>
      </w:tr>
    </w:tbl>
    <w:p w:rsidR="00182931" w:rsidRDefault="00182931">
      <w:pPr>
        <w:ind w:leftChars="-1" w:left="324" w:hangingChars="136" w:hanging="326"/>
        <w:jc w:val="center"/>
      </w:pPr>
      <w:bookmarkStart w:id="0" w:name="_GoBack"/>
      <w:bookmarkEnd w:id="0"/>
    </w:p>
    <w:p w:rsidR="00182931" w:rsidRDefault="00182931">
      <w:pPr>
        <w:ind w:leftChars="-1" w:left="324" w:hangingChars="136" w:hanging="326"/>
      </w:pPr>
    </w:p>
    <w:sectPr w:rsidR="00182931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E8A" w:rsidRDefault="00F51E8A" w:rsidP="000040DE">
      <w:r>
        <w:separator/>
      </w:r>
    </w:p>
  </w:endnote>
  <w:endnote w:type="continuationSeparator" w:id="0">
    <w:p w:rsidR="00F51E8A" w:rsidRDefault="00F51E8A" w:rsidP="0000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E8A" w:rsidRDefault="00F51E8A" w:rsidP="000040DE">
      <w:r>
        <w:separator/>
      </w:r>
    </w:p>
  </w:footnote>
  <w:footnote w:type="continuationSeparator" w:id="0">
    <w:p w:rsidR="00F51E8A" w:rsidRDefault="00F51E8A" w:rsidP="00004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40DE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31"/>
    <w:rsid w:val="0018295E"/>
    <w:rsid w:val="001A3B3F"/>
    <w:rsid w:val="001A57CD"/>
    <w:rsid w:val="001A60DD"/>
    <w:rsid w:val="001B577E"/>
    <w:rsid w:val="001D0E43"/>
    <w:rsid w:val="001E4372"/>
    <w:rsid w:val="0020402B"/>
    <w:rsid w:val="00207436"/>
    <w:rsid w:val="0021436A"/>
    <w:rsid w:val="0022717C"/>
    <w:rsid w:val="00247277"/>
    <w:rsid w:val="002A01D6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51E8A"/>
    <w:rsid w:val="00F74347"/>
    <w:rsid w:val="00F74368"/>
    <w:rsid w:val="00F87038"/>
    <w:rsid w:val="00F87F54"/>
    <w:rsid w:val="00FC370A"/>
    <w:rsid w:val="00FF47B4"/>
    <w:rsid w:val="035667A4"/>
    <w:rsid w:val="306A1938"/>
    <w:rsid w:val="3111295C"/>
    <w:rsid w:val="4A565026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301668-756F-48CF-89EE-5874C1B31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