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87608" w:rsidRDefault="00DB5F14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9"/>
        <w:gridCol w:w="991"/>
        <w:gridCol w:w="1560"/>
        <w:gridCol w:w="1701"/>
        <w:gridCol w:w="2205"/>
      </w:tblGrid>
      <w:tr w:rsidR="00387608">
        <w:tc>
          <w:tcPr>
            <w:tcW w:w="1839" w:type="dxa"/>
          </w:tcPr>
          <w:p w:rsidR="00387608" w:rsidRDefault="00DB5F1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551" w:type="dxa"/>
            <w:gridSpan w:val="2"/>
          </w:tcPr>
          <w:p w:rsidR="00387608" w:rsidRDefault="00DB5F14">
            <w:pPr>
              <w:jc w:val="lef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纯水超纯水一体机</w:t>
            </w:r>
          </w:p>
        </w:tc>
        <w:tc>
          <w:tcPr>
            <w:tcW w:w="1701" w:type="dxa"/>
          </w:tcPr>
          <w:p w:rsidR="00387608" w:rsidRDefault="00DB5F1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387608" w:rsidRDefault="00387608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87608">
        <w:tc>
          <w:tcPr>
            <w:tcW w:w="2830" w:type="dxa"/>
            <w:gridSpan w:val="2"/>
          </w:tcPr>
          <w:p w:rsidR="00387608" w:rsidRDefault="00DB5F1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387608" w:rsidRDefault="00387608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387608">
        <w:trPr>
          <w:trHeight w:val="1301"/>
        </w:trPr>
        <w:tc>
          <w:tcPr>
            <w:tcW w:w="8296" w:type="dxa"/>
            <w:gridSpan w:val="5"/>
          </w:tcPr>
          <w:p w:rsidR="00387608" w:rsidRDefault="00DB5F14">
            <w:pPr>
              <w:widowControl/>
              <w:jc w:val="left"/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t xml:space="preserve"> </w:t>
            </w:r>
          </w:p>
          <w:p w:rsidR="00387608" w:rsidRDefault="00DB5F1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实验用水，养细胞用水</w:t>
            </w:r>
          </w:p>
        </w:tc>
      </w:tr>
      <w:tr w:rsidR="00387608">
        <w:trPr>
          <w:trHeight w:val="7141"/>
        </w:trPr>
        <w:tc>
          <w:tcPr>
            <w:tcW w:w="8296" w:type="dxa"/>
            <w:gridSpan w:val="5"/>
          </w:tcPr>
          <w:p w:rsidR="00387608" w:rsidRDefault="00DB5F1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387608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 w:cs="宋体"/>
                <w:sz w:val="22"/>
              </w:rPr>
            </w:pPr>
            <w:r>
              <w:rPr>
                <w:rFonts w:ascii="微软雅黑" w:eastAsia="微软雅黑" w:hAnsi="微软雅黑" w:cs="宋体" w:hint="eastAsia"/>
                <w:sz w:val="22"/>
              </w:rPr>
              <w:t>进水条件：市政自来水，满足GB 5749-2006 生活饮用水卫生标准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>★ 处理工艺：双级反渗透+离子交换</w:t>
            </w:r>
          </w:p>
          <w:p w:rsidR="00387608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 w:cs="宋体"/>
                <w:sz w:val="22"/>
              </w:rPr>
            </w:pPr>
            <w:r>
              <w:rPr>
                <w:rFonts w:ascii="微软雅黑" w:eastAsia="微软雅黑" w:hAnsi="微软雅黑" w:cs="宋体" w:hint="eastAsia"/>
                <w:sz w:val="22"/>
              </w:rPr>
              <w:t>产水指标：</w:t>
            </w:r>
          </w:p>
          <w:p w:rsidR="00387608" w:rsidRDefault="00DB5F14">
            <w:pPr>
              <w:pStyle w:val="a5"/>
              <w:numPr>
                <w:ilvl w:val="2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 w:cs="宋体"/>
                <w:sz w:val="22"/>
              </w:rPr>
            </w:pPr>
            <w:r>
              <w:rPr>
                <w:rFonts w:ascii="微软雅黑" w:eastAsia="微软雅黑" w:hAnsi="微软雅黑" w:cs="宋体" w:hint="eastAsia"/>
                <w:sz w:val="22"/>
              </w:rPr>
              <w:t>纯水：</w:t>
            </w:r>
            <w:r>
              <w:rPr>
                <w:rFonts w:ascii="微软雅黑" w:eastAsia="微软雅黑" w:hAnsi="微软雅黑" w:hint="eastAsia"/>
                <w:sz w:val="22"/>
              </w:rPr>
              <w:t>电导率&lt;5 µS/cm</w:t>
            </w:r>
            <w:r>
              <w:rPr>
                <w:rFonts w:ascii="微软雅黑" w:eastAsia="微软雅黑" w:hAnsi="微软雅黑"/>
                <w:sz w:val="22"/>
              </w:rPr>
              <w:t>（25</w:t>
            </w:r>
            <w:r>
              <w:rPr>
                <w:rFonts w:ascii="微软雅黑" w:eastAsia="微软雅黑" w:hAnsi="微软雅黑" w:cs="宋体" w:hint="eastAsia"/>
                <w:sz w:val="22"/>
              </w:rPr>
              <w:t>℃</w:t>
            </w:r>
            <w:r>
              <w:rPr>
                <w:rFonts w:ascii="微软雅黑" w:eastAsia="微软雅黑" w:hAnsi="微软雅黑"/>
                <w:sz w:val="22"/>
              </w:rPr>
              <w:t>）</w:t>
            </w:r>
            <w:r>
              <w:rPr>
                <w:rFonts w:ascii="微软雅黑" w:eastAsia="微软雅黑" w:hAnsi="微软雅黑" w:hint="eastAsia"/>
                <w:sz w:val="22"/>
              </w:rPr>
              <w:t>，符合GB6682-2008分析实验室三级水标准</w:t>
            </w:r>
          </w:p>
          <w:p w:rsidR="00387608" w:rsidRDefault="00DB5F14">
            <w:pPr>
              <w:pStyle w:val="a5"/>
              <w:numPr>
                <w:ilvl w:val="2"/>
                <w:numId w:val="1"/>
              </w:numPr>
              <w:adjustRightInd w:val="0"/>
              <w:snapToGrid w:val="0"/>
              <w:spacing w:line="38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>
              <w:rPr>
                <w:rFonts w:ascii="微软雅黑" w:eastAsia="微软雅黑" w:hAnsi="微软雅黑" w:cs="宋体" w:hint="eastAsia"/>
                <w:sz w:val="22"/>
              </w:rPr>
              <w:t>超纯水：电阻率18.2</w:t>
            </w:r>
            <w:r>
              <w:rPr>
                <w:rFonts w:ascii="微软雅黑" w:eastAsia="微软雅黑" w:hAnsi="微软雅黑" w:cs="宋体"/>
                <w:sz w:val="22"/>
              </w:rPr>
              <w:t>MΩ.cm（25</w:t>
            </w:r>
            <w:r>
              <w:rPr>
                <w:rFonts w:ascii="微软雅黑" w:eastAsia="微软雅黑" w:hAnsi="微软雅黑" w:cs="宋体" w:hint="eastAsia"/>
                <w:sz w:val="22"/>
              </w:rPr>
              <w:t>℃</w:t>
            </w:r>
            <w:r>
              <w:rPr>
                <w:rFonts w:ascii="微软雅黑" w:eastAsia="微软雅黑" w:hAnsi="微软雅黑" w:cs="宋体"/>
                <w:sz w:val="22"/>
              </w:rPr>
              <w:t>）</w:t>
            </w:r>
            <w:r>
              <w:rPr>
                <w:rFonts w:ascii="微软雅黑" w:eastAsia="微软雅黑" w:hAnsi="微软雅黑" w:cs="宋体" w:hint="eastAsia"/>
                <w:sz w:val="22"/>
              </w:rPr>
              <w:t>，</w:t>
            </w:r>
            <w:r>
              <w:rPr>
                <w:rFonts w:ascii="微软雅黑" w:eastAsia="微软雅黑" w:hAnsi="微软雅黑" w:hint="eastAsia"/>
                <w:sz w:val="22"/>
              </w:rPr>
              <w:t>TOC＜5ppb，细菌&lt;0.1cfu/ml, ，热源(内毒素) &lt;0.001Eu/ml；</w:t>
            </w:r>
          </w:p>
          <w:p w:rsidR="00387608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 w:cs="宋体"/>
                <w:sz w:val="22"/>
              </w:rPr>
            </w:pPr>
            <w:r>
              <w:rPr>
                <w:rFonts w:ascii="微软雅黑" w:eastAsia="微软雅黑" w:hAnsi="微软雅黑" w:cs="宋体" w:hint="eastAsia"/>
                <w:sz w:val="22"/>
              </w:rPr>
              <w:t>产水量：双级RO系统稳定产量≥20L/H@15℃</w:t>
            </w:r>
          </w:p>
          <w:p w:rsidR="00387608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 w:cs="宋体"/>
                <w:sz w:val="22"/>
              </w:rPr>
            </w:pPr>
            <w:r>
              <w:rPr>
                <w:rFonts w:ascii="微软雅黑" w:eastAsia="微软雅黑" w:hAnsi="微软雅黑" w:cs="宋体" w:hint="eastAsia"/>
                <w:sz w:val="22"/>
              </w:rPr>
              <w:t>设备包括：预处理、水箱、纯化主机，含所有必备耗材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>★ 配备进口双波长（185nm&amp;254nm）UV紫外灯组件，具备紫外失效报警功能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>★ 配备原装进口中空纤维超滤膜，品牌可选PALL/ELGA/MICROZA（不接受其他品牌，同时需提供清关证明、原产地证明）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 xml:space="preserve"> 控制界面：彩色液晶触摸屏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>取水流速：逐滴至2LPM，3D旋钮取水控制、四档可调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>设备具备纯水、超纯水双取水口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>配备带有高度、角度可调支架的取水臂</w:t>
            </w:r>
            <w:r w:rsidRPr="005C1334">
              <w:rPr>
                <w:rFonts w:ascii="微软雅黑" w:eastAsia="微软雅黑" w:hAnsi="微软雅黑"/>
                <w:sz w:val="22"/>
              </w:rPr>
              <w:t xml:space="preserve"> 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>定量取水功能，定量精度：±1%</w:t>
            </w:r>
            <w:r w:rsidRPr="005C1334">
              <w:rPr>
                <w:rFonts w:ascii="微软雅黑" w:eastAsia="微软雅黑" w:hAnsi="微软雅黑"/>
                <w:sz w:val="22"/>
              </w:rPr>
              <w:t xml:space="preserve"> 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>支持脚踏开关取水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>数据打印：具备自动/手动水质打印输出功能，可打印输出历史数据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>数据存储：具备TF卡数据存储功能（容量≥4GB）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>漏水保护：具备双重漏水保护器，可同时感应内部和桌面积水，并在报警触发时采取强制保护措施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 xml:space="preserve"> 过程指标监测：系统具备以下过程指标实时传感器监测和数字显示——</w:t>
            </w:r>
          </w:p>
          <w:p w:rsidR="00387608" w:rsidRPr="005C1334" w:rsidRDefault="00DB5F14" w:rsidP="005C133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>原水电导率/温度、RO产水电导率、UP产水电阻率/温度、TOC、一级/二</w:t>
            </w:r>
            <w:r w:rsidRPr="005C1334">
              <w:rPr>
                <w:rFonts w:ascii="微软雅黑" w:eastAsia="微软雅黑" w:hAnsi="微软雅黑" w:hint="eastAsia"/>
                <w:sz w:val="22"/>
              </w:rPr>
              <w:lastRenderedPageBreak/>
              <w:t>级RO运行压力、UP运行压力，电导/电阻率显示可选自动温度补偿和不补偿显示方式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>水质质控：系统具备RO产水（电导率）和UP产水质控功能（电导率+TOC），水质不合格声光提示，RO不合格产水自动排放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 xml:space="preserve"> 超纯水系统具有TOC在线监测功能，范围1-999ppb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>系统消毒：配备独立消毒盒，可用于RO和UP系统的在线化学消毒，消毒过程独立界面、自动完成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 xml:space="preserve"> 袋式存储：系统使用食品级PE材质软质水袋存储，有效容积≥40L，可快速更换、免清洁，注/排水过程无空气引入，无须呼吸滤器和浸没式杀菌灯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>连续液位监测：纯水储罐使用连续式液位传感器监测液位（非分段式），液位以百分比和升数显示，精度±1%或1L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 xml:space="preserve"> 预处理柱、RO膜组、DI柱、消毒盒均具备识别芯片，具有可追溯性。芯片内存信息包括：耗材的编号、批次、安装日期及寿命信息</w:t>
            </w:r>
          </w:p>
          <w:p w:rsidR="00387608" w:rsidRPr="005C1334" w:rsidRDefault="00DB5F1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 xml:space="preserve"> 设备可实现WIFI/GPRS双模自动切换上线，制造商具有物联网云服务平台可对设备各项性能指标进行远程跟踪、管理，包括但不限于：RO/UP系统运行参数、水质信息、报警信息和耗材信息</w:t>
            </w:r>
          </w:p>
          <w:p w:rsidR="00387608" w:rsidRPr="005C1334" w:rsidRDefault="00DB5F14" w:rsidP="005C1334">
            <w:pPr>
              <w:pStyle w:val="a5"/>
              <w:numPr>
                <w:ilvl w:val="1"/>
                <w:numId w:val="1"/>
              </w:numPr>
              <w:adjustRightInd w:val="0"/>
              <w:snapToGrid w:val="0"/>
              <w:spacing w:line="400" w:lineRule="exact"/>
              <w:ind w:firstLineChars="0"/>
              <w:rPr>
                <w:rFonts w:ascii="微软雅黑" w:eastAsia="微软雅黑" w:hAnsi="微软雅黑"/>
                <w:sz w:val="22"/>
              </w:rPr>
            </w:pPr>
            <w:r w:rsidRPr="005C1334">
              <w:rPr>
                <w:rFonts w:ascii="微软雅黑" w:eastAsia="微软雅黑" w:hAnsi="微软雅黑" w:hint="eastAsia"/>
                <w:sz w:val="22"/>
              </w:rPr>
              <w:t>超纯柱为双柱设计，具有中间水质探头，可提前预警前柱失效，并实现交替使用</w:t>
            </w:r>
          </w:p>
          <w:p w:rsidR="00387608" w:rsidRDefault="00DB5F1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387608" w:rsidRDefault="00387608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387608" w:rsidRDefault="00387608">
      <w:pPr>
        <w:rPr>
          <w:rFonts w:ascii="宋体" w:eastAsia="宋体" w:hAnsi="宋体"/>
          <w:sz w:val="18"/>
          <w:szCs w:val="18"/>
        </w:rPr>
      </w:pPr>
    </w:p>
    <w:sectPr w:rsidR="003876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FE1" w:rsidRDefault="00491FE1" w:rsidP="005C1334">
      <w:r>
        <w:separator/>
      </w:r>
    </w:p>
  </w:endnote>
  <w:endnote w:type="continuationSeparator" w:id="0">
    <w:p w:rsidR="00491FE1" w:rsidRDefault="00491FE1" w:rsidP="005C1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FE1" w:rsidRDefault="00491FE1" w:rsidP="005C1334">
      <w:r>
        <w:separator/>
      </w:r>
    </w:p>
  </w:footnote>
  <w:footnote w:type="continuationSeparator" w:id="0">
    <w:p w:rsidR="00491FE1" w:rsidRDefault="00491FE1" w:rsidP="005C1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377FE"/>
    <w:multiLevelType w:val="multilevel"/>
    <w:tmpl w:val="171377FE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40" w:hanging="420"/>
      </w:pPr>
    </w:lvl>
    <w:lvl w:ilvl="2">
      <w:start w:val="1"/>
      <w:numFmt w:val="decimal"/>
      <w:lvlText w:val="%3）"/>
      <w:lvlJc w:val="left"/>
      <w:pPr>
        <w:ind w:left="1260" w:hanging="420"/>
      </w:pPr>
      <w:rPr>
        <w:rFonts w:ascii="微软雅黑" w:eastAsia="微软雅黑" w:hAnsi="宋体" w:cs="宋体" w:hint="eastAsia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underlineTabInNumList/>
    <w:compatSetting w:name="compatibilityMode" w:uri="http://schemas.microsoft.com/office/word" w:val="12"/>
  </w:compat>
  <w:docVars>
    <w:docVar w:name="KY_MEDREF_DOCUID" w:val="{63FC6321-2AA7-4094-BD53-4607BBEC639B}"/>
    <w:docVar w:name="KY_MEDREF_VERSION" w:val="3"/>
  </w:docVars>
  <w:rsids>
    <w:rsidRoot w:val="00525230"/>
    <w:rsid w:val="000C50E2"/>
    <w:rsid w:val="00121DA4"/>
    <w:rsid w:val="0035204B"/>
    <w:rsid w:val="00355572"/>
    <w:rsid w:val="00387608"/>
    <w:rsid w:val="00491FE1"/>
    <w:rsid w:val="00524EC2"/>
    <w:rsid w:val="00525230"/>
    <w:rsid w:val="00527FB1"/>
    <w:rsid w:val="005C1334"/>
    <w:rsid w:val="006F6C60"/>
    <w:rsid w:val="0073387A"/>
    <w:rsid w:val="009E2EBA"/>
    <w:rsid w:val="00A73CF5"/>
    <w:rsid w:val="00AD2768"/>
    <w:rsid w:val="00C13FF5"/>
    <w:rsid w:val="00DA1263"/>
    <w:rsid w:val="00DB5F14"/>
    <w:rsid w:val="00FC4B28"/>
    <w:rsid w:val="00FD1F12"/>
    <w:rsid w:val="058F24A4"/>
    <w:rsid w:val="105667D6"/>
    <w:rsid w:val="66750D70"/>
    <w:rsid w:val="68D50ACD"/>
    <w:rsid w:val="69BF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C4291B"/>
  <w15:docId w15:val="{858C19E1-8396-48DA-8E64-AAAA2D41C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Pr>
      <w:sz w:val="24"/>
    </w:rPr>
  </w:style>
  <w:style w:type="table" w:styleId="a4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5C13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C1334"/>
    <w:rPr>
      <w:rFonts w:ascii="等线" w:eastAsia="等线" w:hAnsi="等线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C13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C1334"/>
    <w:rPr>
      <w:rFonts w:ascii="等线" w:eastAsia="等线" w:hAnsi="等线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175</Words>
  <Characters>1002</Characters>
  <Application>Microsoft Office Word</Application>
  <DocSecurity>0</DocSecurity>
  <Lines>8</Lines>
  <Paragraphs>2</Paragraphs>
  <ScaleCrop>false</ScaleCrop>
  <Company>南京中医药大学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12</cp:revision>
  <dcterms:created xsi:type="dcterms:W3CDTF">2017-11-19T20:36:00Z</dcterms:created>
  <dcterms:modified xsi:type="dcterms:W3CDTF">2018-04-12T02:33:00Z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